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E8" w:rsidRPr="007D5CEB" w:rsidRDefault="00B824E8" w:rsidP="00B824E8">
      <w:pPr>
        <w:rPr>
          <w:rFonts w:asciiTheme="majorHAnsi" w:eastAsiaTheme="majorEastAsia" w:hAnsiTheme="majorHAnsi" w:cstheme="majorBidi"/>
          <w:spacing w:val="-10"/>
          <w:kern w:val="28"/>
          <w:sz w:val="56"/>
          <w:szCs w:val="56"/>
          <w:lang w:val="en-US"/>
        </w:rPr>
      </w:pPr>
      <w:r>
        <w:rPr>
          <w:rFonts w:asciiTheme="majorHAnsi" w:eastAsiaTheme="majorEastAsia" w:hAnsiTheme="majorHAnsi" w:cstheme="majorBidi"/>
          <w:spacing w:val="-10"/>
          <w:kern w:val="28"/>
          <w:sz w:val="56"/>
          <w:szCs w:val="56"/>
          <w:lang w:val="en-US"/>
        </w:rPr>
        <w:t xml:space="preserve">Test mobility scenarios and their consequences in </w:t>
      </w:r>
      <w:r>
        <w:rPr>
          <w:rFonts w:asciiTheme="majorHAnsi" w:eastAsiaTheme="majorEastAsia" w:hAnsiTheme="majorHAnsi" w:cstheme="majorBidi"/>
          <w:spacing w:val="-10"/>
          <w:kern w:val="28"/>
          <w:sz w:val="56"/>
          <w:szCs w:val="56"/>
          <w:lang w:val="en-US"/>
        </w:rPr>
        <w:t xml:space="preserve">Zadar </w:t>
      </w:r>
      <w:r>
        <w:rPr>
          <w:rFonts w:asciiTheme="majorHAnsi" w:eastAsiaTheme="majorEastAsia" w:hAnsiTheme="majorHAnsi" w:cstheme="majorBidi"/>
          <w:spacing w:val="-10"/>
          <w:kern w:val="28"/>
          <w:sz w:val="56"/>
          <w:szCs w:val="56"/>
          <w:lang w:val="en-US"/>
        </w:rPr>
        <w:t>FUA</w:t>
      </w:r>
    </w:p>
    <w:tbl>
      <w:tblPr>
        <w:tblW w:w="0" w:type="auto"/>
        <w:tblInd w:w="-38" w:type="dxa"/>
        <w:tblLayout w:type="fixed"/>
        <w:tblCellMar>
          <w:left w:w="30" w:type="dxa"/>
          <w:right w:w="30" w:type="dxa"/>
        </w:tblCellMar>
        <w:tblLook w:val="0000" w:firstRow="0" w:lastRow="0" w:firstColumn="0" w:lastColumn="0" w:noHBand="0" w:noVBand="0"/>
      </w:tblPr>
      <w:tblGrid>
        <w:gridCol w:w="2582"/>
        <w:gridCol w:w="5848"/>
      </w:tblGrid>
      <w:tr w:rsidR="00B20C38" w:rsidRPr="001763B5"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Project Number</w:t>
            </w:r>
          </w:p>
        </w:tc>
        <w:tc>
          <w:tcPr>
            <w:tcW w:w="584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r w:rsidRPr="001763B5">
              <w:rPr>
                <w:lang w:val="en-GB"/>
              </w:rPr>
              <w:t>DTP1-1-037-3.1</w:t>
            </w:r>
          </w:p>
        </w:tc>
      </w:tr>
      <w:tr w:rsidR="00B20C38" w:rsidRPr="001763B5" w:rsidTr="004079A0">
        <w:trPr>
          <w:trHeight w:val="570"/>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Project Name</w:t>
            </w:r>
          </w:p>
        </w:tc>
        <w:tc>
          <w:tcPr>
            <w:tcW w:w="584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r w:rsidRPr="001763B5">
              <w:rPr>
                <w:lang w:val="en-GB"/>
              </w:rPr>
              <w:t>Comprehensive Elaboration of Strategic plans for sustainable Urban Transport</w:t>
            </w:r>
          </w:p>
        </w:tc>
      </w:tr>
      <w:tr w:rsidR="00B20C38" w:rsidRPr="001763B5"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Project Acronym</w:t>
            </w:r>
          </w:p>
        </w:tc>
        <w:tc>
          <w:tcPr>
            <w:tcW w:w="584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r w:rsidRPr="001763B5">
              <w:rPr>
                <w:lang w:val="en-GB"/>
              </w:rPr>
              <w:t>CHESTNUT</w:t>
            </w:r>
          </w:p>
        </w:tc>
      </w:tr>
      <w:tr w:rsidR="00B20C38" w:rsidRPr="001763B5"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Work package</w:t>
            </w:r>
          </w:p>
        </w:tc>
        <w:tc>
          <w:tcPr>
            <w:tcW w:w="584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WP3 - Transnational strategy</w:t>
            </w:r>
          </w:p>
        </w:tc>
      </w:tr>
      <w:tr w:rsidR="00B20C38" w:rsidRPr="001763B5"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Activity</w:t>
            </w:r>
          </w:p>
        </w:tc>
        <w:tc>
          <w:tcPr>
            <w:tcW w:w="584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Activity 3.2 – Elaboration of Transnational Strategy (based on mobility scenarios)</w:t>
            </w:r>
          </w:p>
        </w:tc>
      </w:tr>
      <w:tr w:rsidR="00B20C38" w:rsidRPr="001763B5" w:rsidTr="004079A0">
        <w:trPr>
          <w:trHeight w:val="570"/>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Title of Working Document</w:t>
            </w:r>
          </w:p>
        </w:tc>
        <w:tc>
          <w:tcPr>
            <w:tcW w:w="5848" w:type="dxa"/>
            <w:tcBorders>
              <w:top w:val="single" w:sz="6" w:space="0" w:color="auto"/>
              <w:left w:val="single" w:sz="6" w:space="0" w:color="auto"/>
              <w:bottom w:val="single" w:sz="6" w:space="0" w:color="auto"/>
              <w:right w:val="single" w:sz="6" w:space="0" w:color="auto"/>
            </w:tcBorders>
          </w:tcPr>
          <w:p w:rsidR="00B20C38" w:rsidRPr="001763B5" w:rsidRDefault="00B824E8" w:rsidP="004079A0">
            <w:pPr>
              <w:spacing w:after="0"/>
              <w:jc w:val="both"/>
              <w:rPr>
                <w:bCs/>
                <w:lang w:val="en-GB"/>
              </w:rPr>
            </w:pPr>
            <w:r w:rsidRPr="00B824E8">
              <w:rPr>
                <w:lang w:val="en-GB"/>
              </w:rPr>
              <w:t>Test mobility scenarios and their consequences in Zadar FUA</w:t>
            </w:r>
          </w:p>
        </w:tc>
      </w:tr>
      <w:tr w:rsidR="00B20C38" w:rsidRPr="001763B5"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WP responsible partner</w:t>
            </w:r>
          </w:p>
        </w:tc>
        <w:tc>
          <w:tcPr>
            <w:tcW w:w="5848" w:type="dxa"/>
            <w:tcBorders>
              <w:top w:val="single" w:sz="6" w:space="0" w:color="auto"/>
              <w:left w:val="single" w:sz="6" w:space="0" w:color="auto"/>
              <w:bottom w:val="nil"/>
              <w:right w:val="single" w:sz="6" w:space="0" w:color="auto"/>
            </w:tcBorders>
          </w:tcPr>
          <w:p w:rsidR="00B20C38" w:rsidRPr="001763B5" w:rsidRDefault="00B20C38" w:rsidP="004079A0">
            <w:pPr>
              <w:spacing w:after="0"/>
              <w:jc w:val="both"/>
              <w:rPr>
                <w:lang w:val="en-GB"/>
              </w:rPr>
            </w:pPr>
            <w:proofErr w:type="spellStart"/>
            <w:r w:rsidRPr="001763B5">
              <w:rPr>
                <w:lang w:val="en-GB"/>
              </w:rPr>
              <w:t>Pannon</w:t>
            </w:r>
            <w:proofErr w:type="spellEnd"/>
            <w:r w:rsidRPr="001763B5">
              <w:rPr>
                <w:lang w:val="en-GB"/>
              </w:rPr>
              <w:t xml:space="preserve"> Business Network - PP8</w:t>
            </w:r>
          </w:p>
        </w:tc>
      </w:tr>
      <w:tr w:rsidR="00B20C38" w:rsidRPr="001763B5"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Dissemination Level</w:t>
            </w:r>
          </w:p>
        </w:tc>
        <w:tc>
          <w:tcPr>
            <w:tcW w:w="584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r w:rsidRPr="001763B5">
              <w:rPr>
                <w:lang w:val="en-GB"/>
              </w:rPr>
              <w:t>Public</w:t>
            </w:r>
          </w:p>
        </w:tc>
      </w:tr>
      <w:tr w:rsidR="00B20C38" w:rsidRPr="001763B5"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Date of Preparation</w:t>
            </w:r>
          </w:p>
        </w:tc>
        <w:tc>
          <w:tcPr>
            <w:tcW w:w="584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r w:rsidRPr="001763B5">
              <w:rPr>
                <w:lang w:val="en-GB"/>
              </w:rPr>
              <w:t>17. 11. 2017.</w:t>
            </w:r>
          </w:p>
        </w:tc>
      </w:tr>
      <w:tr w:rsidR="00B20C38" w:rsidRPr="001763B5"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rsidR="00B20C38" w:rsidRPr="001763B5" w:rsidRDefault="00B824E8" w:rsidP="004079A0">
            <w:pPr>
              <w:spacing w:after="0"/>
              <w:jc w:val="both"/>
              <w:rPr>
                <w:lang w:val="en-GB"/>
              </w:rPr>
            </w:pPr>
            <w:r w:rsidRPr="00B824E8">
              <w:rPr>
                <w:lang w:val="en-GB"/>
              </w:rPr>
              <w:t>Test mobility scenarios and their consequences in Zadar FUA</w:t>
            </w:r>
          </w:p>
        </w:tc>
      </w:tr>
      <w:tr w:rsidR="00B20C38" w:rsidRPr="001763B5"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tabs>
                <w:tab w:val="left" w:pos="1753"/>
              </w:tabs>
              <w:spacing w:after="0"/>
              <w:jc w:val="both"/>
              <w:rPr>
                <w:bCs/>
                <w:lang w:val="en-GB"/>
              </w:rPr>
            </w:pPr>
            <w:r w:rsidRPr="001763B5">
              <w:rPr>
                <w:bCs/>
                <w:lang w:val="en-GB"/>
              </w:rPr>
              <w:t>Author</w:t>
            </w:r>
          </w:p>
        </w:tc>
        <w:tc>
          <w:tcPr>
            <w:tcW w:w="584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r w:rsidRPr="001763B5">
              <w:rPr>
                <w:lang w:val="en-GB"/>
              </w:rPr>
              <w:t xml:space="preserve">Josip </w:t>
            </w:r>
            <w:proofErr w:type="spellStart"/>
            <w:r w:rsidRPr="001763B5">
              <w:rPr>
                <w:lang w:val="en-GB"/>
              </w:rPr>
              <w:t>Faričić</w:t>
            </w:r>
            <w:proofErr w:type="spellEnd"/>
            <w:r w:rsidRPr="001763B5">
              <w:rPr>
                <w:lang w:val="en-GB"/>
              </w:rPr>
              <w:t xml:space="preserve">, full professor </w:t>
            </w:r>
          </w:p>
          <w:p w:rsidR="00B20C38" w:rsidRDefault="00B20C38" w:rsidP="004079A0">
            <w:pPr>
              <w:spacing w:after="0"/>
              <w:jc w:val="both"/>
              <w:rPr>
                <w:lang w:val="en-GB"/>
              </w:rPr>
            </w:pPr>
            <w:r w:rsidRPr="001763B5">
              <w:rPr>
                <w:lang w:val="en-GB"/>
              </w:rPr>
              <w:t xml:space="preserve">Tome </w:t>
            </w:r>
            <w:proofErr w:type="spellStart"/>
            <w:r w:rsidRPr="001763B5">
              <w:rPr>
                <w:lang w:val="en-GB"/>
              </w:rPr>
              <w:t>Marelić</w:t>
            </w:r>
            <w:proofErr w:type="spellEnd"/>
            <w:r w:rsidRPr="001763B5">
              <w:rPr>
                <w:lang w:val="en-GB"/>
              </w:rPr>
              <w:t>, research assistant</w:t>
            </w:r>
          </w:p>
          <w:p w:rsidR="00B20C38" w:rsidRPr="001763B5" w:rsidRDefault="00B20C38" w:rsidP="004079A0">
            <w:pPr>
              <w:spacing w:after="0"/>
              <w:jc w:val="both"/>
              <w:rPr>
                <w:lang w:val="en-GB"/>
              </w:rPr>
            </w:pPr>
            <w:proofErr w:type="spellStart"/>
            <w:r>
              <w:rPr>
                <w:lang w:val="en-GB"/>
              </w:rPr>
              <w:t>Anica</w:t>
            </w:r>
            <w:proofErr w:type="spellEnd"/>
            <w:r>
              <w:rPr>
                <w:lang w:val="en-GB"/>
              </w:rPr>
              <w:t xml:space="preserve"> </w:t>
            </w:r>
            <w:proofErr w:type="spellStart"/>
            <w:r>
              <w:rPr>
                <w:lang w:val="en-GB"/>
              </w:rPr>
              <w:t>Čuka</w:t>
            </w:r>
            <w:proofErr w:type="spellEnd"/>
            <w:r>
              <w:rPr>
                <w:lang w:val="en-GB"/>
              </w:rPr>
              <w:t>, associate professor</w:t>
            </w:r>
          </w:p>
        </w:tc>
      </w:tr>
      <w:tr w:rsidR="00B20C38" w:rsidRPr="001763B5" w:rsidTr="004079A0">
        <w:trPr>
          <w:trHeight w:val="285"/>
        </w:trPr>
        <w:tc>
          <w:tcPr>
            <w:tcW w:w="2582"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tabs>
                <w:tab w:val="left" w:pos="1753"/>
              </w:tabs>
              <w:spacing w:after="0"/>
              <w:jc w:val="both"/>
              <w:rPr>
                <w:bCs/>
                <w:lang w:val="en-GB"/>
              </w:rPr>
            </w:pPr>
            <w:r w:rsidRPr="001763B5">
              <w:rPr>
                <w:bCs/>
                <w:lang w:val="en-GB"/>
              </w:rPr>
              <w:t>Contributors</w:t>
            </w:r>
          </w:p>
        </w:tc>
        <w:tc>
          <w:tcPr>
            <w:tcW w:w="5848" w:type="dxa"/>
            <w:tcBorders>
              <w:top w:val="single" w:sz="6" w:space="0" w:color="auto"/>
              <w:left w:val="single" w:sz="6" w:space="0" w:color="auto"/>
              <w:bottom w:val="single" w:sz="6" w:space="0" w:color="auto"/>
              <w:right w:val="single" w:sz="6" w:space="0" w:color="auto"/>
            </w:tcBorders>
          </w:tcPr>
          <w:p w:rsidR="00B824E8" w:rsidRPr="001763B5" w:rsidRDefault="00B824E8" w:rsidP="00B824E8">
            <w:pPr>
              <w:spacing w:after="0"/>
              <w:jc w:val="both"/>
              <w:rPr>
                <w:lang w:val="en-GB"/>
              </w:rPr>
            </w:pPr>
            <w:r w:rsidRPr="001763B5">
              <w:rPr>
                <w:lang w:val="en-GB"/>
              </w:rPr>
              <w:t xml:space="preserve">Ana </w:t>
            </w:r>
            <w:proofErr w:type="spellStart"/>
            <w:r w:rsidRPr="001763B5">
              <w:rPr>
                <w:lang w:val="en-GB"/>
              </w:rPr>
              <w:t>Pejdo</w:t>
            </w:r>
            <w:proofErr w:type="spellEnd"/>
            <w:r w:rsidRPr="001763B5">
              <w:rPr>
                <w:lang w:val="en-GB"/>
              </w:rPr>
              <w:t>, assistant professor</w:t>
            </w:r>
          </w:p>
          <w:p w:rsidR="00B20C38" w:rsidRPr="001763B5" w:rsidRDefault="00B20C38" w:rsidP="004079A0">
            <w:pPr>
              <w:spacing w:after="0"/>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b/>
          <w:bCs/>
          <w:lang w:val="en-GB"/>
        </w:rPr>
        <w:t>Document History</w:t>
      </w:r>
    </w:p>
    <w:tbl>
      <w:tblPr>
        <w:tblW w:w="0" w:type="auto"/>
        <w:tblInd w:w="-38" w:type="dxa"/>
        <w:tblLayout w:type="fixed"/>
        <w:tblCellMar>
          <w:left w:w="30" w:type="dxa"/>
          <w:right w:w="30" w:type="dxa"/>
        </w:tblCellMar>
        <w:tblLook w:val="0000" w:firstRow="0" w:lastRow="0" w:firstColumn="0" w:lastColumn="0" w:noHBand="0" w:noVBand="0"/>
      </w:tblPr>
      <w:tblGrid>
        <w:gridCol w:w="1590"/>
        <w:gridCol w:w="2126"/>
        <w:gridCol w:w="4678"/>
      </w:tblGrid>
      <w:tr w:rsidR="00B20C38" w:rsidRPr="001763B5" w:rsidTr="004079A0">
        <w:tc>
          <w:tcPr>
            <w:tcW w:w="1590"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Version</w:t>
            </w:r>
          </w:p>
        </w:tc>
        <w:tc>
          <w:tcPr>
            <w:tcW w:w="2126"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r w:rsidRPr="001763B5">
              <w:rPr>
                <w:lang w:val="en-GB"/>
              </w:rPr>
              <w:t>Date</w:t>
            </w:r>
          </w:p>
        </w:tc>
        <w:tc>
          <w:tcPr>
            <w:tcW w:w="467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r w:rsidRPr="001763B5">
              <w:rPr>
                <w:lang w:val="en-GB"/>
              </w:rPr>
              <w:t>Note</w:t>
            </w:r>
          </w:p>
        </w:tc>
      </w:tr>
      <w:tr w:rsidR="00B20C38" w:rsidRPr="001763B5" w:rsidTr="004079A0">
        <w:tc>
          <w:tcPr>
            <w:tcW w:w="1590"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Cs/>
                <w:lang w:val="en-GB"/>
              </w:rPr>
            </w:pPr>
            <w:r w:rsidRPr="001763B5">
              <w:rPr>
                <w:bCs/>
                <w:lang w:val="en-GB"/>
              </w:rPr>
              <w:t>Template</w:t>
            </w:r>
          </w:p>
        </w:tc>
        <w:tc>
          <w:tcPr>
            <w:tcW w:w="2126"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r w:rsidRPr="001763B5">
              <w:rPr>
                <w:lang w:val="en-GB"/>
              </w:rPr>
              <w:t>02.10.2017</w:t>
            </w:r>
          </w:p>
        </w:tc>
        <w:tc>
          <w:tcPr>
            <w:tcW w:w="467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r w:rsidRPr="001763B5">
              <w:rPr>
                <w:lang w:val="en-GB"/>
              </w:rPr>
              <w:t xml:space="preserve">Template by </w:t>
            </w:r>
            <w:proofErr w:type="spellStart"/>
            <w:r w:rsidRPr="001763B5">
              <w:rPr>
                <w:lang w:val="en-GB"/>
              </w:rPr>
              <w:t>Takeru</w:t>
            </w:r>
            <w:proofErr w:type="spellEnd"/>
            <w:r w:rsidRPr="001763B5">
              <w:rPr>
                <w:lang w:val="en-GB"/>
              </w:rPr>
              <w:t xml:space="preserve"> </w:t>
            </w:r>
            <w:proofErr w:type="spellStart"/>
            <w:r w:rsidRPr="001763B5">
              <w:rPr>
                <w:lang w:val="en-GB"/>
              </w:rPr>
              <w:t>Shibayama</w:t>
            </w:r>
            <w:proofErr w:type="spellEnd"/>
            <w:r w:rsidRPr="001763B5">
              <w:rPr>
                <w:lang w:val="en-GB"/>
              </w:rPr>
              <w:t xml:space="preserve"> (VUT)</w:t>
            </w:r>
          </w:p>
        </w:tc>
      </w:tr>
      <w:tr w:rsidR="00B20C38" w:rsidRPr="001763B5" w:rsidTr="004079A0">
        <w:tc>
          <w:tcPr>
            <w:tcW w:w="1590" w:type="dxa"/>
            <w:tcBorders>
              <w:top w:val="single" w:sz="6" w:space="0" w:color="auto"/>
              <w:left w:val="single" w:sz="6" w:space="0" w:color="auto"/>
              <w:bottom w:val="single" w:sz="6" w:space="0" w:color="auto"/>
              <w:right w:val="single" w:sz="6" w:space="0" w:color="auto"/>
            </w:tcBorders>
          </w:tcPr>
          <w:p w:rsidR="00B20C38" w:rsidRPr="001763B5" w:rsidRDefault="00B824E8" w:rsidP="004079A0">
            <w:pPr>
              <w:spacing w:after="0"/>
              <w:jc w:val="both"/>
              <w:rPr>
                <w:bCs/>
                <w:lang w:val="en-GB"/>
              </w:rPr>
            </w:pPr>
            <w:r>
              <w:rPr>
                <w:bCs/>
                <w:lang w:val="en-GB"/>
              </w:rPr>
              <w:t>Scenario finished</w:t>
            </w:r>
          </w:p>
        </w:tc>
        <w:tc>
          <w:tcPr>
            <w:tcW w:w="2126" w:type="dxa"/>
            <w:tcBorders>
              <w:top w:val="single" w:sz="6" w:space="0" w:color="auto"/>
              <w:left w:val="single" w:sz="6" w:space="0" w:color="auto"/>
              <w:bottom w:val="single" w:sz="6" w:space="0" w:color="auto"/>
              <w:right w:val="single" w:sz="6" w:space="0" w:color="auto"/>
            </w:tcBorders>
          </w:tcPr>
          <w:p w:rsidR="00B20C38" w:rsidRPr="001763B5" w:rsidRDefault="00B824E8" w:rsidP="004079A0">
            <w:pPr>
              <w:spacing w:after="0"/>
              <w:jc w:val="both"/>
              <w:rPr>
                <w:lang w:val="en-GB"/>
              </w:rPr>
            </w:pPr>
            <w:r>
              <w:rPr>
                <w:lang w:val="en-GB"/>
              </w:rPr>
              <w:t>17.11.2017.</w:t>
            </w:r>
          </w:p>
        </w:tc>
        <w:tc>
          <w:tcPr>
            <w:tcW w:w="4678" w:type="dxa"/>
            <w:tcBorders>
              <w:top w:val="single" w:sz="6" w:space="0" w:color="auto"/>
              <w:left w:val="single" w:sz="6" w:space="0" w:color="auto"/>
              <w:bottom w:val="single" w:sz="6" w:space="0" w:color="auto"/>
              <w:right w:val="single" w:sz="6" w:space="0" w:color="auto"/>
            </w:tcBorders>
          </w:tcPr>
          <w:p w:rsidR="00B824E8" w:rsidRPr="001763B5" w:rsidRDefault="00B824E8" w:rsidP="00B824E8">
            <w:pPr>
              <w:spacing w:after="0"/>
              <w:jc w:val="both"/>
              <w:rPr>
                <w:lang w:val="en-GB"/>
              </w:rPr>
            </w:pPr>
            <w:r w:rsidRPr="001763B5">
              <w:rPr>
                <w:lang w:val="en-GB"/>
              </w:rPr>
              <w:t xml:space="preserve">Josip </w:t>
            </w:r>
            <w:proofErr w:type="spellStart"/>
            <w:r w:rsidRPr="001763B5">
              <w:rPr>
                <w:lang w:val="en-GB"/>
              </w:rPr>
              <w:t>Faričić</w:t>
            </w:r>
            <w:proofErr w:type="spellEnd"/>
            <w:r w:rsidRPr="001763B5">
              <w:rPr>
                <w:lang w:val="en-GB"/>
              </w:rPr>
              <w:t xml:space="preserve">, full professor </w:t>
            </w:r>
          </w:p>
          <w:p w:rsidR="00B20C38" w:rsidRPr="001763B5" w:rsidRDefault="00B20C38" w:rsidP="004079A0">
            <w:pPr>
              <w:spacing w:after="0"/>
              <w:jc w:val="both"/>
              <w:rPr>
                <w:lang w:val="en-GB"/>
              </w:rPr>
            </w:pPr>
          </w:p>
        </w:tc>
      </w:tr>
      <w:tr w:rsidR="00B20C38" w:rsidRPr="001763B5" w:rsidTr="004079A0">
        <w:tc>
          <w:tcPr>
            <w:tcW w:w="1590"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
                <w:bCs/>
                <w:lang w:val="en-GB"/>
              </w:rPr>
            </w:pPr>
          </w:p>
        </w:tc>
        <w:tc>
          <w:tcPr>
            <w:tcW w:w="2126"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p>
        </w:tc>
        <w:tc>
          <w:tcPr>
            <w:tcW w:w="467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p>
        </w:tc>
      </w:tr>
      <w:tr w:rsidR="00B20C38" w:rsidRPr="001763B5" w:rsidTr="004079A0">
        <w:tc>
          <w:tcPr>
            <w:tcW w:w="1590"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
                <w:bCs/>
                <w:lang w:val="en-GB"/>
              </w:rPr>
            </w:pPr>
          </w:p>
        </w:tc>
        <w:tc>
          <w:tcPr>
            <w:tcW w:w="2126"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p>
        </w:tc>
        <w:tc>
          <w:tcPr>
            <w:tcW w:w="467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p>
        </w:tc>
      </w:tr>
      <w:tr w:rsidR="00B20C38" w:rsidRPr="001763B5" w:rsidTr="004079A0">
        <w:tc>
          <w:tcPr>
            <w:tcW w:w="1590"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b/>
                <w:bCs/>
                <w:lang w:val="en-GB"/>
              </w:rPr>
            </w:pPr>
          </w:p>
        </w:tc>
        <w:tc>
          <w:tcPr>
            <w:tcW w:w="2126"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p>
        </w:tc>
        <w:tc>
          <w:tcPr>
            <w:tcW w:w="4678" w:type="dxa"/>
            <w:tcBorders>
              <w:top w:val="single" w:sz="6" w:space="0" w:color="auto"/>
              <w:left w:val="single" w:sz="6" w:space="0" w:color="auto"/>
              <w:bottom w:val="single" w:sz="6" w:space="0" w:color="auto"/>
              <w:right w:val="single" w:sz="6" w:space="0" w:color="auto"/>
            </w:tcBorders>
          </w:tcPr>
          <w:p w:rsidR="00B20C38" w:rsidRPr="001763B5" w:rsidRDefault="00B20C38" w:rsidP="004079A0">
            <w:pPr>
              <w:spacing w:after="0"/>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p>
    <w:p w:rsidR="00B20C38" w:rsidRPr="001763B5" w:rsidRDefault="00B20C38" w:rsidP="00B824E8">
      <w:pPr>
        <w:jc w:val="both"/>
        <w:rPr>
          <w:lang w:val="en-GB"/>
        </w:rPr>
      </w:pPr>
      <w:r w:rsidRPr="001763B5">
        <w:rPr>
          <w:lang w:val="en-GB"/>
        </w:rPr>
        <w:br w:type="page"/>
      </w:r>
    </w:p>
    <w:p w:rsidR="00B20C38" w:rsidRPr="001763B5" w:rsidRDefault="00B20C38" w:rsidP="00B20C38">
      <w:pPr>
        <w:pStyle w:val="Cmsor1"/>
        <w:jc w:val="both"/>
        <w:rPr>
          <w:lang w:val="en-GB"/>
        </w:rPr>
      </w:pPr>
      <w:r w:rsidRPr="001763B5">
        <w:rPr>
          <w:lang w:val="en-GB"/>
        </w:rPr>
        <w:lastRenderedPageBreak/>
        <w:t>1. Information about this test scenario</w:t>
      </w:r>
    </w:p>
    <w:tbl>
      <w:tblPr>
        <w:tblStyle w:val="Rcsostblzat"/>
        <w:tblW w:w="0" w:type="auto"/>
        <w:tblLook w:val="04A0" w:firstRow="1" w:lastRow="0" w:firstColumn="1" w:lastColumn="0" w:noHBand="0" w:noVBand="1"/>
      </w:tblPr>
      <w:tblGrid>
        <w:gridCol w:w="1980"/>
        <w:gridCol w:w="7416"/>
      </w:tblGrid>
      <w:tr w:rsidR="00B20C38" w:rsidRPr="001763B5" w:rsidTr="004079A0">
        <w:tc>
          <w:tcPr>
            <w:tcW w:w="1980" w:type="dxa"/>
          </w:tcPr>
          <w:p w:rsidR="00B20C38" w:rsidRPr="001763B5" w:rsidRDefault="00B20C38" w:rsidP="004079A0">
            <w:pPr>
              <w:jc w:val="both"/>
              <w:rPr>
                <w:lang w:val="en-GB"/>
              </w:rPr>
            </w:pPr>
            <w:r w:rsidRPr="001763B5">
              <w:rPr>
                <w:lang w:val="en-GB"/>
              </w:rPr>
              <w:t>FUA Name</w:t>
            </w:r>
          </w:p>
        </w:tc>
        <w:tc>
          <w:tcPr>
            <w:tcW w:w="7416" w:type="dxa"/>
          </w:tcPr>
          <w:p w:rsidR="00B20C38" w:rsidRPr="001763B5" w:rsidRDefault="00B20C38" w:rsidP="004079A0">
            <w:pPr>
              <w:jc w:val="both"/>
              <w:rPr>
                <w:lang w:val="en-GB"/>
              </w:rPr>
            </w:pPr>
            <w:r w:rsidRPr="001763B5">
              <w:rPr>
                <w:lang w:val="en-GB"/>
              </w:rPr>
              <w:t>Zadar</w:t>
            </w:r>
          </w:p>
        </w:tc>
      </w:tr>
      <w:tr w:rsidR="00B20C38" w:rsidRPr="001763B5" w:rsidTr="004079A0">
        <w:tc>
          <w:tcPr>
            <w:tcW w:w="1980" w:type="dxa"/>
          </w:tcPr>
          <w:p w:rsidR="00B20C38" w:rsidRPr="001763B5" w:rsidRDefault="00B20C38" w:rsidP="004079A0">
            <w:pPr>
              <w:jc w:val="both"/>
              <w:rPr>
                <w:lang w:val="en-GB"/>
              </w:rPr>
            </w:pPr>
            <w:r w:rsidRPr="001763B5">
              <w:rPr>
                <w:lang w:val="en-GB"/>
              </w:rPr>
              <w:t>Scenario Name</w:t>
            </w:r>
          </w:p>
        </w:tc>
        <w:tc>
          <w:tcPr>
            <w:tcW w:w="7416" w:type="dxa"/>
          </w:tcPr>
          <w:p w:rsidR="00B20C38" w:rsidRPr="00B20C38" w:rsidRDefault="00B20C38" w:rsidP="004079A0">
            <w:pPr>
              <w:jc w:val="both"/>
              <w:rPr>
                <w:b/>
                <w:sz w:val="24"/>
                <w:szCs w:val="24"/>
                <w:lang w:val="en-GB"/>
              </w:rPr>
            </w:pPr>
            <w:r w:rsidRPr="00B20C38">
              <w:rPr>
                <w:b/>
                <w:sz w:val="24"/>
                <w:szCs w:val="24"/>
                <w:lang w:val="en-GB"/>
              </w:rPr>
              <w:t>Business-as-usual</w:t>
            </w:r>
          </w:p>
        </w:tc>
      </w:tr>
      <w:tr w:rsidR="00B20C38" w:rsidRPr="001763B5" w:rsidTr="004079A0">
        <w:tc>
          <w:tcPr>
            <w:tcW w:w="1980" w:type="dxa"/>
          </w:tcPr>
          <w:p w:rsidR="00B20C38" w:rsidRPr="001763B5" w:rsidRDefault="00B20C38" w:rsidP="004079A0">
            <w:pPr>
              <w:jc w:val="both"/>
              <w:rPr>
                <w:lang w:val="en-GB"/>
              </w:rPr>
            </w:pPr>
            <w:r w:rsidRPr="001763B5">
              <w:rPr>
                <w:lang w:val="en-GB"/>
              </w:rPr>
              <w:t>Date</w:t>
            </w:r>
          </w:p>
        </w:tc>
        <w:tc>
          <w:tcPr>
            <w:tcW w:w="7416" w:type="dxa"/>
          </w:tcPr>
          <w:p w:rsidR="00B20C38" w:rsidRPr="001763B5" w:rsidRDefault="00B20C38" w:rsidP="004079A0">
            <w:pPr>
              <w:jc w:val="both"/>
              <w:rPr>
                <w:lang w:val="en-GB"/>
              </w:rPr>
            </w:pPr>
            <w:r w:rsidRPr="001763B5">
              <w:rPr>
                <w:lang w:val="en-GB"/>
              </w:rPr>
              <w:t>17. 11. 2017.</w:t>
            </w:r>
          </w:p>
        </w:tc>
      </w:tr>
      <w:tr w:rsidR="00B20C38" w:rsidRPr="001763B5" w:rsidTr="004079A0">
        <w:tc>
          <w:tcPr>
            <w:tcW w:w="1980" w:type="dxa"/>
          </w:tcPr>
          <w:p w:rsidR="00B20C38" w:rsidRPr="001763B5" w:rsidRDefault="00B20C38" w:rsidP="004079A0">
            <w:pPr>
              <w:jc w:val="both"/>
              <w:rPr>
                <w:lang w:val="en-GB"/>
              </w:rPr>
            </w:pPr>
            <w:r w:rsidRPr="001763B5">
              <w:rPr>
                <w:lang w:val="en-GB"/>
              </w:rPr>
              <w:t>Policy target year</w:t>
            </w:r>
          </w:p>
        </w:tc>
        <w:tc>
          <w:tcPr>
            <w:tcW w:w="7416" w:type="dxa"/>
          </w:tcPr>
          <w:p w:rsidR="00B20C38" w:rsidRPr="001763B5" w:rsidRDefault="00B20C38" w:rsidP="004079A0">
            <w:pPr>
              <w:jc w:val="both"/>
              <w:rPr>
                <w:lang w:val="en-GB"/>
              </w:rPr>
            </w:pPr>
            <w:r w:rsidRPr="001763B5">
              <w:rPr>
                <w:lang w:val="en-GB"/>
              </w:rPr>
              <w:t xml:space="preserve">2025 </w:t>
            </w:r>
          </w:p>
        </w:tc>
      </w:tr>
      <w:tr w:rsidR="00B20C38" w:rsidRPr="001763B5" w:rsidTr="004079A0">
        <w:tc>
          <w:tcPr>
            <w:tcW w:w="1980" w:type="dxa"/>
          </w:tcPr>
          <w:p w:rsidR="00B20C38" w:rsidRPr="001763B5" w:rsidRDefault="00B20C38" w:rsidP="004079A0">
            <w:pPr>
              <w:jc w:val="both"/>
              <w:rPr>
                <w:lang w:val="en-GB"/>
              </w:rPr>
            </w:pPr>
            <w:r w:rsidRPr="001763B5">
              <w:rPr>
                <w:lang w:val="en-GB"/>
              </w:rPr>
              <w:t>Contributor</w:t>
            </w:r>
          </w:p>
        </w:tc>
        <w:tc>
          <w:tcPr>
            <w:tcW w:w="7416" w:type="dxa"/>
          </w:tcPr>
          <w:p w:rsidR="00B20C38" w:rsidRPr="001763B5" w:rsidRDefault="00B20C38" w:rsidP="004079A0">
            <w:pPr>
              <w:jc w:val="both"/>
              <w:rPr>
                <w:lang w:val="en-GB"/>
              </w:rPr>
            </w:pPr>
            <w:r w:rsidRPr="001763B5">
              <w:rPr>
                <w:lang w:val="en-GB"/>
              </w:rPr>
              <w:t xml:space="preserve">Josip </w:t>
            </w:r>
            <w:proofErr w:type="spellStart"/>
            <w:r w:rsidRPr="001763B5">
              <w:rPr>
                <w:lang w:val="en-GB"/>
              </w:rPr>
              <w:t>Faričić</w:t>
            </w:r>
            <w:proofErr w:type="spellEnd"/>
            <w:r w:rsidRPr="001763B5">
              <w:rPr>
                <w:lang w:val="en-GB"/>
              </w:rPr>
              <w:t>, full professor</w:t>
            </w:r>
          </w:p>
          <w:p w:rsidR="00B20C38" w:rsidRPr="001763B5" w:rsidRDefault="00B20C38" w:rsidP="004079A0">
            <w:pPr>
              <w:jc w:val="both"/>
              <w:rPr>
                <w:lang w:val="en-GB"/>
              </w:rPr>
            </w:pPr>
            <w:r w:rsidRPr="001763B5">
              <w:rPr>
                <w:lang w:val="en-GB"/>
              </w:rPr>
              <w:t xml:space="preserve">Ana </w:t>
            </w:r>
            <w:proofErr w:type="spellStart"/>
            <w:r w:rsidRPr="001763B5">
              <w:rPr>
                <w:lang w:val="en-GB"/>
              </w:rPr>
              <w:t>Pejdo</w:t>
            </w:r>
            <w:proofErr w:type="spellEnd"/>
            <w:r w:rsidRPr="001763B5">
              <w:rPr>
                <w:lang w:val="en-GB"/>
              </w:rPr>
              <w:t>, assistant professor</w:t>
            </w:r>
          </w:p>
          <w:p w:rsidR="00B20C38" w:rsidRDefault="00B20C38" w:rsidP="004079A0">
            <w:pPr>
              <w:jc w:val="both"/>
              <w:rPr>
                <w:lang w:val="en-GB"/>
              </w:rPr>
            </w:pPr>
            <w:r w:rsidRPr="001763B5">
              <w:rPr>
                <w:lang w:val="en-GB"/>
              </w:rPr>
              <w:t xml:space="preserve">Tome </w:t>
            </w:r>
            <w:proofErr w:type="spellStart"/>
            <w:r w:rsidRPr="001763B5">
              <w:rPr>
                <w:lang w:val="en-GB"/>
              </w:rPr>
              <w:t>Marelić</w:t>
            </w:r>
            <w:proofErr w:type="spellEnd"/>
            <w:r w:rsidRPr="001763B5">
              <w:rPr>
                <w:lang w:val="en-GB"/>
              </w:rPr>
              <w:t>, research assistant</w:t>
            </w:r>
          </w:p>
          <w:p w:rsidR="00B20C38" w:rsidRPr="001763B5" w:rsidRDefault="00B20C38" w:rsidP="004079A0">
            <w:pPr>
              <w:jc w:val="both"/>
              <w:rPr>
                <w:lang w:val="en-GB"/>
              </w:rPr>
            </w:pPr>
            <w:proofErr w:type="spellStart"/>
            <w:r>
              <w:rPr>
                <w:lang w:val="en-GB"/>
              </w:rPr>
              <w:t>Anica</w:t>
            </w:r>
            <w:proofErr w:type="spellEnd"/>
            <w:r>
              <w:rPr>
                <w:lang w:val="en-GB"/>
              </w:rPr>
              <w:t xml:space="preserve"> </w:t>
            </w:r>
            <w:proofErr w:type="spellStart"/>
            <w:r>
              <w:rPr>
                <w:lang w:val="en-GB"/>
              </w:rPr>
              <w:t>Čuka</w:t>
            </w:r>
            <w:proofErr w:type="spellEnd"/>
            <w:r>
              <w:rPr>
                <w:lang w:val="en-GB"/>
              </w:rPr>
              <w:t>, associate professor</w:t>
            </w:r>
          </w:p>
        </w:tc>
      </w:tr>
    </w:tbl>
    <w:p w:rsidR="00B20C38" w:rsidRPr="001763B5" w:rsidRDefault="00B20C38" w:rsidP="00B20C38">
      <w:pPr>
        <w:pStyle w:val="Cmsor1"/>
        <w:jc w:val="both"/>
        <w:rPr>
          <w:lang w:val="en-GB"/>
        </w:rPr>
      </w:pPr>
      <w:r w:rsidRPr="001763B5">
        <w:rPr>
          <w:lang w:val="en-GB"/>
        </w:rPr>
        <w:t>2. Describe this scenario</w:t>
      </w:r>
    </w:p>
    <w:p w:rsidR="00B20C38" w:rsidRPr="001763B5" w:rsidRDefault="00B20C38" w:rsidP="00B20C38">
      <w:pPr>
        <w:pStyle w:val="Listaszerbekezds"/>
        <w:numPr>
          <w:ilvl w:val="0"/>
          <w:numId w:val="1"/>
        </w:numPr>
        <w:jc w:val="both"/>
        <w:rPr>
          <w:lang w:val="en-GB"/>
        </w:rPr>
      </w:pPr>
      <w:r w:rsidRPr="001763B5">
        <w:rPr>
          <w:lang w:val="en-GB"/>
        </w:rPr>
        <w:t>Max. in 10 lines</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0" w:name="_Hlk503002216"/>
            <w:r w:rsidRPr="001763B5">
              <w:rPr>
                <w:lang w:val="en-GB"/>
              </w:rPr>
              <w:t xml:space="preserve">FUA Zadar will continue current transport/mobility policy until 2025; </w:t>
            </w:r>
            <w:bookmarkEnd w:id="0"/>
            <w:r w:rsidRPr="001763B5">
              <w:rPr>
                <w:lang w:val="en-GB"/>
              </w:rPr>
              <w:t xml:space="preserve">EU, National and Regional Policies will not change until 2025. SUMP and its implementation will provide better mobility conditions for different users. </w:t>
            </w:r>
            <w:bookmarkStart w:id="1" w:name="_Hlk503002229"/>
            <w:r w:rsidRPr="001763B5">
              <w:rPr>
                <w:lang w:val="en-GB"/>
              </w:rPr>
              <w:t>Common vision for the entire FUA Zadar identifies priorities such as development of cycling network, better coordination of public transport, modernization of infrastructure and implementation of smart and innovative transport solutions.</w:t>
            </w:r>
          </w:p>
          <w:bookmarkEnd w:id="1"/>
          <w:p w:rsidR="00B20C38" w:rsidRPr="001763B5" w:rsidRDefault="00B20C38" w:rsidP="004079A0">
            <w:pPr>
              <w:jc w:val="both"/>
              <w:rPr>
                <w:lang w:val="en-GB"/>
              </w:rPr>
            </w:pPr>
            <w:r>
              <w:rPr>
                <w:noProof/>
                <w:lang w:val="hr-HR" w:eastAsia="hr-HR"/>
              </w:rPr>
              <w:lastRenderedPageBreak/>
              <w:drawing>
                <wp:inline distT="0" distB="0" distL="0" distR="0" wp14:anchorId="1CD171F2" wp14:editId="2A0D024B">
                  <wp:extent cx="5972810" cy="4223385"/>
                  <wp:effectExtent l="19050" t="0" r="8890" b="0"/>
                  <wp:docPr id="4" name="Slika 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5972810" cy="4223385"/>
                          </a:xfrm>
                          <a:prstGeom prst="rect">
                            <a:avLst/>
                          </a:prstGeom>
                        </pic:spPr>
                      </pic:pic>
                    </a:graphicData>
                  </a:graphic>
                </wp:inline>
              </w:drawing>
            </w:r>
          </w:p>
          <w:p w:rsidR="00B20C38" w:rsidRPr="001763B5" w:rsidRDefault="00B20C38" w:rsidP="004079A0">
            <w:pPr>
              <w:jc w:val="both"/>
              <w:rPr>
                <w:lang w:val="en-GB"/>
              </w:rPr>
            </w:pPr>
            <w:r w:rsidRPr="001763B5">
              <w:rPr>
                <w:lang w:val="en-GB" w:eastAsia="hr-HR"/>
              </w:rPr>
              <w:t xml:space="preserve">The existing transport infrastructure is the result of century long development, gradual urbanisation and the spreading of the city. Future transport system needs to be adjusted to the new redistribution of population and economic activities in the City of Zadar but also in the entire FUA. </w:t>
            </w:r>
            <w:r>
              <w:rPr>
                <w:lang w:val="en-GB" w:eastAsia="hr-HR"/>
              </w:rPr>
              <w:t xml:space="preserve"> Special attention should be addressed to the significant increase of population number during summer months due to tourist arrivals. Total number of tourists in Zadar in 2016 was </w:t>
            </w:r>
            <w:r w:rsidRPr="00CA56EC">
              <w:rPr>
                <w:lang w:val="en-US"/>
              </w:rPr>
              <w:t>421.130</w:t>
            </w:r>
            <w:r>
              <w:rPr>
                <w:lang w:val="en-US"/>
              </w:rPr>
              <w:t>.</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pStyle w:val="Cmsor1"/>
        <w:jc w:val="both"/>
        <w:rPr>
          <w:lang w:val="en-GB"/>
        </w:rPr>
      </w:pPr>
      <w:r w:rsidRPr="001763B5">
        <w:rPr>
          <w:lang w:val="en-GB"/>
        </w:rPr>
        <w:t>3. Assessment of consequences</w:t>
      </w:r>
    </w:p>
    <w:p w:rsidR="00B20C38" w:rsidRPr="001763B5" w:rsidRDefault="00B20C38" w:rsidP="00B20C38">
      <w:pPr>
        <w:jc w:val="both"/>
        <w:rPr>
          <w:lang w:val="en-GB"/>
        </w:rPr>
      </w:pPr>
      <w:r w:rsidRPr="001763B5">
        <w:rPr>
          <w:lang w:val="en-GB"/>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FUA Zadar population slightly increased during the last ten years. In relation to previous decades this increase is rather small. However, along with Zagreb and other settlements in its vicinity</w:t>
            </w:r>
            <w:bookmarkStart w:id="2" w:name="_Hlk503002334"/>
            <w:r w:rsidRPr="001763B5">
              <w:rPr>
                <w:lang w:val="en-GB"/>
              </w:rPr>
              <w:t>, Zadar is one of the rare settlements in Croatia which has recorded increase in population number according to the last official Population Census.</w:t>
            </w:r>
            <w:bookmarkEnd w:id="2"/>
            <w:r w:rsidRPr="001763B5">
              <w:rPr>
                <w:lang w:val="en-GB"/>
              </w:rPr>
              <w:t xml:space="preserve"> The number of wom</w:t>
            </w:r>
            <w:r w:rsidR="00B824E8">
              <w:rPr>
                <w:lang w:val="en-GB"/>
              </w:rPr>
              <w:t>e</w:t>
            </w:r>
            <w:r w:rsidRPr="001763B5">
              <w:rPr>
                <w:lang w:val="en-GB"/>
              </w:rPr>
              <w:t xml:space="preserve">n is higher in the old age group while in the mature age group the number of woman and man is almost equal.  </w:t>
            </w:r>
          </w:p>
          <w:p w:rsidR="00B20C38" w:rsidRPr="001763B5" w:rsidRDefault="00B20C38" w:rsidP="004079A0">
            <w:pPr>
              <w:jc w:val="both"/>
              <w:rPr>
                <w:lang w:val="en-GB"/>
              </w:rPr>
            </w:pPr>
          </w:p>
          <w:tbl>
            <w:tblPr>
              <w:tblStyle w:val="Rcsostblzat"/>
              <w:tblW w:w="6871" w:type="dxa"/>
              <w:tblLook w:val="04A0" w:firstRow="1" w:lastRow="0" w:firstColumn="1" w:lastColumn="0" w:noHBand="0" w:noVBand="1"/>
            </w:tblPr>
            <w:tblGrid>
              <w:gridCol w:w="1374"/>
              <w:gridCol w:w="1374"/>
              <w:gridCol w:w="1374"/>
              <w:gridCol w:w="1374"/>
              <w:gridCol w:w="1375"/>
            </w:tblGrid>
            <w:tr w:rsidR="00B20C38" w:rsidRPr="001763B5" w:rsidTr="004079A0">
              <w:trPr>
                <w:trHeight w:val="679"/>
              </w:trPr>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p>
              </w:tc>
              <w:tc>
                <w:tcPr>
                  <w:tcW w:w="5497" w:type="dxa"/>
                  <w:gridSpan w:val="4"/>
                  <w:vAlign w:val="center"/>
                </w:tcPr>
                <w:p w:rsidR="00B20C38" w:rsidRPr="001763B5" w:rsidRDefault="00B20C38" w:rsidP="004079A0">
                  <w:pPr>
                    <w:jc w:val="center"/>
                    <w:rPr>
                      <w:bCs/>
                      <w:color w:val="000000"/>
                      <w:sz w:val="20"/>
                      <w:szCs w:val="20"/>
                      <w:lang w:val="en-GB"/>
                    </w:rPr>
                  </w:pPr>
                  <w:r>
                    <w:rPr>
                      <w:bCs/>
                      <w:color w:val="000000"/>
                      <w:sz w:val="20"/>
                      <w:szCs w:val="20"/>
                      <w:lang w:val="en-GB"/>
                    </w:rPr>
                    <w:t>Population growth</w:t>
                  </w:r>
                </w:p>
              </w:tc>
            </w:tr>
            <w:tr w:rsidR="00B20C38" w:rsidRPr="001763B5" w:rsidTr="004079A0">
              <w:trPr>
                <w:trHeight w:val="679"/>
              </w:trPr>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r>
                    <w:rPr>
                      <w:rFonts w:eastAsia="Times New Roman" w:cs="Times New Roman"/>
                      <w:iCs/>
                      <w:color w:val="000000"/>
                      <w:sz w:val="20"/>
                      <w:szCs w:val="20"/>
                      <w:lang w:val="en-GB" w:eastAsia="en-US"/>
                    </w:rPr>
                    <w:t xml:space="preserve">Periods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Zadar settlement</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City of Zadar</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Other municipalities of FUA in total</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5" w:type="dxa"/>
                  <w:vAlign w:val="center"/>
                </w:tcPr>
                <w:p w:rsidR="00B20C38" w:rsidRDefault="00B20C38" w:rsidP="004079A0">
                  <w:pPr>
                    <w:jc w:val="both"/>
                    <w:rPr>
                      <w:bCs/>
                      <w:color w:val="000000"/>
                      <w:sz w:val="20"/>
                      <w:szCs w:val="20"/>
                      <w:lang w:val="en-GB"/>
                    </w:rPr>
                  </w:pPr>
                  <w:r w:rsidRPr="001763B5">
                    <w:rPr>
                      <w:bCs/>
                      <w:color w:val="000000"/>
                      <w:sz w:val="20"/>
                      <w:szCs w:val="20"/>
                      <w:lang w:val="en-GB"/>
                    </w:rPr>
                    <w:t>FUA total</w:t>
                  </w:r>
                </w:p>
                <w:p w:rsidR="00B20C38" w:rsidRPr="001763B5" w:rsidRDefault="00B20C38" w:rsidP="004079A0">
                  <w:pPr>
                    <w:jc w:val="both"/>
                    <w:rPr>
                      <w:bCs/>
                      <w:color w:val="000000"/>
                      <w:sz w:val="20"/>
                      <w:szCs w:val="20"/>
                      <w:lang w:val="en-GB"/>
                    </w:rPr>
                  </w:pPr>
                  <w:r>
                    <w:rPr>
                      <w:bCs/>
                      <w:color w:val="000000"/>
                      <w:sz w:val="20"/>
                      <w:szCs w:val="20"/>
                      <w:lang w:val="en-GB"/>
                    </w:rPr>
                    <w:t>(in %)</w:t>
                  </w:r>
                </w:p>
              </w:tc>
            </w:tr>
            <w:tr w:rsidR="00B20C38" w:rsidRPr="001763B5" w:rsidTr="004079A0">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 xml:space="preserve"> 1970-1990</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68,4</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59,1</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0,2</w:t>
                  </w:r>
                </w:p>
              </w:tc>
              <w:tc>
                <w:tcPr>
                  <w:tcW w:w="1375"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30,6</w:t>
                  </w:r>
                </w:p>
              </w:tc>
            </w:tr>
            <w:tr w:rsidR="00B20C38" w:rsidRPr="001763B5" w:rsidTr="004079A0">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 xml:space="preserve"> 1990-2010</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-6,4</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-6,6</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-19,7</w:t>
                  </w:r>
                </w:p>
              </w:tc>
              <w:tc>
                <w:tcPr>
                  <w:tcW w:w="1375"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-11,5</w:t>
                  </w:r>
                </w:p>
              </w:tc>
            </w:tr>
            <w:tr w:rsidR="00B20C38" w:rsidRPr="001763B5" w:rsidTr="004079A0">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2010-2030</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5,4</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6,2</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1,6</w:t>
                  </w:r>
                </w:p>
              </w:tc>
              <w:tc>
                <w:tcPr>
                  <w:tcW w:w="1375"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4,7</w:t>
                  </w:r>
                </w:p>
              </w:tc>
            </w:tr>
          </w:tbl>
          <w:p w:rsidR="00B20C38" w:rsidRPr="001763B5" w:rsidRDefault="00B20C38" w:rsidP="004079A0">
            <w:pPr>
              <w:jc w:val="both"/>
              <w:rPr>
                <w:lang w:val="en-GB"/>
              </w:rPr>
            </w:pPr>
          </w:p>
          <w:p w:rsidR="00B20C38" w:rsidRPr="001763B5" w:rsidRDefault="00B20C38" w:rsidP="004079A0">
            <w:pPr>
              <w:jc w:val="both"/>
              <w:rPr>
                <w:lang w:val="en-GB"/>
              </w:rPr>
            </w:pPr>
            <w:r w:rsidRPr="001763B5">
              <w:rPr>
                <w:lang w:val="en-GB"/>
              </w:rPr>
              <w:t xml:space="preserve">Until 2025 population number will slightly increase. Increase will be higher in City of Zadar than in other parts of FUA. </w:t>
            </w:r>
            <w:r>
              <w:rPr>
                <w:lang w:val="en-GB"/>
              </w:rPr>
              <w:t>In 2030 t</w:t>
            </w:r>
            <w:r w:rsidRPr="001763B5">
              <w:rPr>
                <w:lang w:val="en-GB"/>
              </w:rPr>
              <w:t xml:space="preserve">here will </w:t>
            </w:r>
            <w:r>
              <w:rPr>
                <w:lang w:val="en-GB"/>
              </w:rPr>
              <w:t xml:space="preserve">probably </w:t>
            </w:r>
            <w:r w:rsidRPr="001763B5">
              <w:rPr>
                <w:lang w:val="en-GB"/>
              </w:rPr>
              <w:t>be an increase of population in the over-60s age group in the entire FUA.</w:t>
            </w:r>
          </w:p>
          <w:tbl>
            <w:tblPr>
              <w:tblStyle w:val="Rcsostblzat"/>
              <w:tblW w:w="6871" w:type="dxa"/>
              <w:tblLook w:val="04A0" w:firstRow="1" w:lastRow="0" w:firstColumn="1" w:lastColumn="0" w:noHBand="0" w:noVBand="1"/>
            </w:tblPr>
            <w:tblGrid>
              <w:gridCol w:w="1374"/>
              <w:gridCol w:w="1374"/>
              <w:gridCol w:w="1374"/>
              <w:gridCol w:w="1374"/>
              <w:gridCol w:w="1375"/>
            </w:tblGrid>
            <w:tr w:rsidR="00B20C38" w:rsidRPr="001763B5" w:rsidTr="004079A0">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p>
              </w:tc>
              <w:tc>
                <w:tcPr>
                  <w:tcW w:w="5497" w:type="dxa"/>
                  <w:gridSpan w:val="4"/>
                  <w:vAlign w:val="center"/>
                </w:tcPr>
                <w:p w:rsidR="00B20C38" w:rsidRPr="001763B5" w:rsidRDefault="00B20C38" w:rsidP="004079A0">
                  <w:pPr>
                    <w:jc w:val="center"/>
                    <w:rPr>
                      <w:bCs/>
                      <w:color w:val="000000"/>
                      <w:sz w:val="20"/>
                      <w:szCs w:val="20"/>
                      <w:lang w:val="en-GB"/>
                    </w:rPr>
                  </w:pPr>
                  <w:r>
                    <w:rPr>
                      <w:bCs/>
                      <w:color w:val="000000"/>
                      <w:sz w:val="20"/>
                      <w:szCs w:val="20"/>
                      <w:lang w:val="en-GB"/>
                    </w:rPr>
                    <w:t>Age structure</w:t>
                  </w:r>
                </w:p>
              </w:tc>
            </w:tr>
            <w:tr w:rsidR="00B20C38" w:rsidRPr="001763B5" w:rsidTr="004079A0">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r w:rsidRPr="001763B5">
                    <w:rPr>
                      <w:rFonts w:eastAsia="Times New Roman" w:cs="Times New Roman"/>
                      <w:iCs/>
                      <w:color w:val="000000"/>
                      <w:sz w:val="20"/>
                      <w:szCs w:val="20"/>
                      <w:lang w:val="en-GB" w:eastAsia="en-US"/>
                    </w:rPr>
                    <w:t>Age group</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Zadar settlement</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City of Zadar</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Other municipalities of FUA in total</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5" w:type="dxa"/>
                  <w:vAlign w:val="center"/>
                </w:tcPr>
                <w:p w:rsidR="00B20C38" w:rsidRDefault="00B20C38" w:rsidP="004079A0">
                  <w:pPr>
                    <w:jc w:val="both"/>
                    <w:rPr>
                      <w:bCs/>
                      <w:color w:val="000000"/>
                      <w:sz w:val="20"/>
                      <w:szCs w:val="20"/>
                      <w:lang w:val="en-GB"/>
                    </w:rPr>
                  </w:pPr>
                  <w:r w:rsidRPr="001763B5">
                    <w:rPr>
                      <w:bCs/>
                      <w:color w:val="000000"/>
                      <w:sz w:val="20"/>
                      <w:szCs w:val="20"/>
                      <w:lang w:val="en-GB"/>
                    </w:rPr>
                    <w:t>FUA total</w:t>
                  </w:r>
                </w:p>
                <w:p w:rsidR="00B20C38" w:rsidRPr="001763B5" w:rsidRDefault="00B20C38" w:rsidP="004079A0">
                  <w:pPr>
                    <w:jc w:val="both"/>
                    <w:rPr>
                      <w:bCs/>
                      <w:color w:val="000000"/>
                      <w:sz w:val="20"/>
                      <w:szCs w:val="20"/>
                      <w:lang w:val="en-GB"/>
                    </w:rPr>
                  </w:pPr>
                  <w:r>
                    <w:rPr>
                      <w:bCs/>
                      <w:color w:val="000000"/>
                      <w:sz w:val="20"/>
                      <w:szCs w:val="20"/>
                      <w:lang w:val="en-GB"/>
                    </w:rPr>
                    <w:t>(in %)</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 xml:space="preserve">0-14 </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9,0</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9,3</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4,5</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13,9</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15-39</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21,2</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21,8</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10,6</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32,5</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40-64</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24,8</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25,5</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11,3</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36,9</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65-84</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11,7</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12,3</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5,6</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17,9</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 xml:space="preserve">85+ </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2,3</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2,6</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1,5</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4,1</w:t>
                  </w:r>
                </w:p>
              </w:tc>
            </w:tr>
          </w:tbl>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3" w:name="_Hlk503002369"/>
            <w:r w:rsidRPr="001763B5">
              <w:rPr>
                <w:lang w:val="en-GB"/>
              </w:rPr>
              <w:t>Until 20</w:t>
            </w:r>
            <w:r>
              <w:rPr>
                <w:lang w:val="en-GB"/>
              </w:rPr>
              <w:t>2</w:t>
            </w:r>
            <w:r w:rsidRPr="001763B5">
              <w:rPr>
                <w:lang w:val="en-GB"/>
              </w:rPr>
              <w:t xml:space="preserve">5 all transport modes will remain the same as today with more emphasis on the usage of clean vehicles and fuels. </w:t>
            </w:r>
            <w:bookmarkEnd w:id="3"/>
            <w:r w:rsidRPr="001763B5">
              <w:rPr>
                <w:lang w:val="en-GB"/>
              </w:rPr>
              <w:t>FUA Zadar in accordance with EU and National legislation will support the use of electric cars.</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4" w:name="_Hlk503002524"/>
            <w:r w:rsidRPr="001763B5">
              <w:rPr>
                <w:lang w:val="en-GB"/>
              </w:rPr>
              <w:t>Due to improvements in public transport and the cycling network there will be fewer journeys with car. The share of public transport will increase. New shipping li</w:t>
            </w:r>
            <w:r>
              <w:rPr>
                <w:lang w:val="en-GB"/>
              </w:rPr>
              <w:t>nes will be introduced between i</w:t>
            </w:r>
            <w:r w:rsidRPr="001763B5">
              <w:rPr>
                <w:lang w:val="en-GB"/>
              </w:rPr>
              <w:t>slands. Number of pedestrians and cyclists will increase</w:t>
            </w:r>
            <w:bookmarkEnd w:id="4"/>
            <w:r w:rsidRPr="001763B5">
              <w:rPr>
                <w:lang w:val="en-GB"/>
              </w:rPr>
              <w:t>. This all will lead to air quality improvements, noise reduction and positive health effects.</w:t>
            </w:r>
            <w:r>
              <w:rPr>
                <w:lang w:val="en-GB"/>
              </w:rPr>
              <w:t xml:space="preserve"> Dynamic of this process will depend on the implementation of proposed transport planning documentation.</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 xml:space="preserve">All the documentation written for FUA Zadar SUMP is in line with upper-level transport policy. </w:t>
            </w:r>
            <w:proofErr w:type="gramStart"/>
            <w:r w:rsidRPr="001763B5">
              <w:rPr>
                <w:lang w:val="en-GB"/>
              </w:rPr>
              <w:t>In order for</w:t>
            </w:r>
            <w:proofErr w:type="gramEnd"/>
            <w:r w:rsidRPr="001763B5">
              <w:rPr>
                <w:lang w:val="en-GB"/>
              </w:rPr>
              <w:t xml:space="preserve"> the document to be accepted and verified it is done using some of the main objectives and targets already stated in other Regional/National planning documentation. </w:t>
            </w:r>
          </w:p>
          <w:p w:rsidR="00B20C38" w:rsidRPr="001763B5" w:rsidRDefault="00B20C38" w:rsidP="004079A0">
            <w:pPr>
              <w:jc w:val="both"/>
              <w:rPr>
                <w:lang w:val="en-GB"/>
              </w:rPr>
            </w:pP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Is the overall situation improving the living quality of your FUA?</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 xml:space="preserve">Satisfaction with the technical equipment in Zadar is the highest in the statistical circles closer to city centre, i.e. that transport deficiencies are larger towards periphery meaning the location factor is extremely important for examinees satisfaction. The highest number of problems regarding transport infrastructure occur in the statistical circles Novi </w:t>
            </w:r>
            <w:proofErr w:type="spellStart"/>
            <w:r w:rsidRPr="001763B5">
              <w:rPr>
                <w:lang w:val="en-GB"/>
              </w:rPr>
              <w:t>Bokanjac</w:t>
            </w:r>
            <w:proofErr w:type="spellEnd"/>
            <w:r w:rsidRPr="001763B5">
              <w:rPr>
                <w:lang w:val="en-GB"/>
              </w:rPr>
              <w:t xml:space="preserve">, </w:t>
            </w:r>
            <w:proofErr w:type="spellStart"/>
            <w:r w:rsidRPr="001763B5">
              <w:rPr>
                <w:lang w:val="en-GB"/>
              </w:rPr>
              <w:t>Arbanasi</w:t>
            </w:r>
            <w:proofErr w:type="spellEnd"/>
            <w:r w:rsidRPr="001763B5">
              <w:rPr>
                <w:lang w:val="en-GB"/>
              </w:rPr>
              <w:t xml:space="preserve"> 1, </w:t>
            </w:r>
            <w:proofErr w:type="spellStart"/>
            <w:r w:rsidRPr="001763B5">
              <w:rPr>
                <w:lang w:val="en-GB"/>
              </w:rPr>
              <w:t>Arbanasi</w:t>
            </w:r>
            <w:proofErr w:type="spellEnd"/>
            <w:r w:rsidRPr="001763B5">
              <w:rPr>
                <w:lang w:val="en-GB"/>
              </w:rPr>
              <w:t xml:space="preserve"> 2 and </w:t>
            </w:r>
            <w:proofErr w:type="spellStart"/>
            <w:r w:rsidRPr="001763B5">
              <w:rPr>
                <w:lang w:val="en-GB"/>
              </w:rPr>
              <w:t>Diklo</w:t>
            </w:r>
            <w:proofErr w:type="spellEnd"/>
            <w:r w:rsidRPr="001763B5">
              <w:rPr>
                <w:lang w:val="en-GB"/>
              </w:rPr>
              <w:t xml:space="preserve">, while transport infrastructure is of high quality in statistical circles with the highest road density; </w:t>
            </w:r>
            <w:proofErr w:type="spellStart"/>
            <w:r w:rsidRPr="001763B5">
              <w:rPr>
                <w:lang w:val="en-GB"/>
              </w:rPr>
              <w:t>Višnjik</w:t>
            </w:r>
            <w:proofErr w:type="spellEnd"/>
            <w:r w:rsidRPr="001763B5">
              <w:rPr>
                <w:lang w:val="en-GB"/>
              </w:rPr>
              <w:t xml:space="preserve">, </w:t>
            </w:r>
            <w:proofErr w:type="spellStart"/>
            <w:r w:rsidRPr="001763B5">
              <w:rPr>
                <w:lang w:val="en-GB"/>
              </w:rPr>
              <w:t>Jazine</w:t>
            </w:r>
            <w:proofErr w:type="spellEnd"/>
            <w:r w:rsidRPr="001763B5">
              <w:rPr>
                <w:lang w:val="en-GB"/>
              </w:rPr>
              <w:t xml:space="preserve"> 1, </w:t>
            </w:r>
            <w:proofErr w:type="spellStart"/>
            <w:r w:rsidRPr="001763B5">
              <w:rPr>
                <w:lang w:val="en-GB"/>
              </w:rPr>
              <w:t>Jazine</w:t>
            </w:r>
            <w:proofErr w:type="spellEnd"/>
            <w:r w:rsidRPr="001763B5">
              <w:rPr>
                <w:lang w:val="en-GB"/>
              </w:rPr>
              <w:t xml:space="preserve"> 2 and </w:t>
            </w:r>
            <w:proofErr w:type="spellStart"/>
            <w:r w:rsidRPr="001763B5">
              <w:rPr>
                <w:lang w:val="en-GB"/>
              </w:rPr>
              <w:t>Jazine</w:t>
            </w:r>
            <w:proofErr w:type="spellEnd"/>
            <w:r w:rsidRPr="001763B5">
              <w:rPr>
                <w:lang w:val="en-GB"/>
              </w:rPr>
              <w:t xml:space="preserve"> 3.</w:t>
            </w:r>
            <w:r>
              <w:rPr>
                <w:lang w:val="en-GB"/>
              </w:rPr>
              <w:t xml:space="preserve"> Traffic jams occur during summer months when the number of transport system </w:t>
            </w:r>
            <w:proofErr w:type="gramStart"/>
            <w:r>
              <w:rPr>
                <w:lang w:val="en-GB"/>
              </w:rPr>
              <w:t>users</w:t>
            </w:r>
            <w:proofErr w:type="gramEnd"/>
            <w:r>
              <w:rPr>
                <w:lang w:val="en-GB"/>
              </w:rPr>
              <w:t xml:space="preserve"> doubles.</w:t>
            </w:r>
            <w:r w:rsidRPr="001763B5">
              <w:rPr>
                <w:lang w:val="en-GB"/>
              </w:rPr>
              <w:t xml:space="preserve"> In accordance with the above problems and further urban city planning </w:t>
            </w:r>
            <w:bookmarkStart w:id="5" w:name="_Hlk503003276"/>
            <w:r w:rsidRPr="001763B5">
              <w:rPr>
                <w:lang w:val="en-GB"/>
              </w:rPr>
              <w:t xml:space="preserve">it is necessary to determine perspectives of development and improvements of transport infrastructure </w:t>
            </w:r>
            <w:proofErr w:type="gramStart"/>
            <w:r w:rsidRPr="001763B5">
              <w:rPr>
                <w:lang w:val="en-GB"/>
              </w:rPr>
              <w:t>in order to</w:t>
            </w:r>
            <w:proofErr w:type="gramEnd"/>
            <w:r w:rsidRPr="001763B5">
              <w:rPr>
                <w:lang w:val="en-GB"/>
              </w:rPr>
              <w:t xml:space="preserve"> achieve a higher effectiveness, better functioning and also sustainable city development. </w:t>
            </w:r>
          </w:p>
          <w:bookmarkEnd w:id="5"/>
          <w:p w:rsidR="00B20C38" w:rsidRPr="001763B5" w:rsidRDefault="00B20C38" w:rsidP="004079A0">
            <w:pPr>
              <w:jc w:val="both"/>
              <w:rPr>
                <w:lang w:val="en-GB"/>
              </w:rPr>
            </w:pPr>
            <w:r>
              <w:rPr>
                <w:noProof/>
                <w:lang w:val="hr-HR" w:eastAsia="hr-HR"/>
              </w:rPr>
              <w:lastRenderedPageBreak/>
              <w:drawing>
                <wp:inline distT="0" distB="0" distL="0" distR="0" wp14:anchorId="501DC59F" wp14:editId="21333E74">
                  <wp:extent cx="5809488" cy="3892296"/>
                  <wp:effectExtent l="19050" t="0" r="762" b="0"/>
                  <wp:docPr id="6" name="Slika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stretch>
                            <a:fillRect/>
                          </a:stretch>
                        </pic:blipFill>
                        <pic:spPr>
                          <a:xfrm>
                            <a:off x="0" y="0"/>
                            <a:ext cx="5809488" cy="3892296"/>
                          </a:xfrm>
                          <a:prstGeom prst="rect">
                            <a:avLst/>
                          </a:prstGeom>
                        </pic:spPr>
                      </pic:pic>
                    </a:graphicData>
                  </a:graphic>
                </wp:inline>
              </w:drawing>
            </w:r>
            <w:r w:rsidRPr="001763B5">
              <w:rPr>
                <w:lang w:val="en-GB"/>
              </w:rPr>
              <w:t xml:space="preserve"> </w:t>
            </w:r>
          </w:p>
          <w:p w:rsidR="00B20C38" w:rsidRPr="001763B5" w:rsidRDefault="00B20C38" w:rsidP="004079A0">
            <w:pPr>
              <w:jc w:val="both"/>
              <w:rPr>
                <w:lang w:val="en-GB"/>
              </w:rPr>
            </w:pPr>
          </w:p>
          <w:p w:rsidR="00B20C38" w:rsidRPr="001763B5" w:rsidRDefault="00B20C38" w:rsidP="004079A0">
            <w:pPr>
              <w:jc w:val="both"/>
              <w:rPr>
                <w:lang w:val="en-GB"/>
              </w:rPr>
            </w:pPr>
            <w:r w:rsidRPr="001763B5">
              <w:rPr>
                <w:lang w:val="en-GB"/>
              </w:rPr>
              <w:t xml:space="preserve">If all the priorities listed in SUMP will be implemented the quality of live will improve. In case all investments will be directed towards reconstruction of roads, building of new parking places, etc. this will cause further deterioration of </w:t>
            </w:r>
            <w:r>
              <w:rPr>
                <w:lang w:val="en-GB"/>
              </w:rPr>
              <w:t>living quality</w:t>
            </w:r>
            <w:r w:rsidRPr="001763B5">
              <w:rPr>
                <w:lang w:val="en-GB"/>
              </w:rPr>
              <w:t xml:space="preserve">. </w:t>
            </w:r>
          </w:p>
          <w:p w:rsidR="00B20C38" w:rsidRPr="001763B5" w:rsidRDefault="00B20C38" w:rsidP="004079A0">
            <w:pPr>
              <w:jc w:val="both"/>
              <w:rPr>
                <w:lang w:val="en-GB"/>
              </w:rPr>
            </w:pPr>
          </w:p>
          <w:p w:rsidR="00B20C38" w:rsidRPr="001763B5" w:rsidRDefault="00B20C38" w:rsidP="004079A0">
            <w:pPr>
              <w:jc w:val="both"/>
              <w:rPr>
                <w:lang w:val="en-GB"/>
              </w:rPr>
            </w:pP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 xml:space="preserve">What are the effects on </w:t>
      </w:r>
      <w:proofErr w:type="gramStart"/>
      <w:r w:rsidRPr="001763B5">
        <w:rPr>
          <w:lang w:val="en-GB"/>
        </w:rPr>
        <w:t>particular demographic</w:t>
      </w:r>
      <w:proofErr w:type="gramEnd"/>
      <w:r w:rsidRPr="001763B5">
        <w:rPr>
          <w:lang w:val="en-GB"/>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 xml:space="preserve">Students are also involved in daily circulations from their place of residence to primary, secondary and tertiary educational facilities located in throughout FUA. Majority of schools </w:t>
            </w:r>
            <w:proofErr w:type="gramStart"/>
            <w:r w:rsidRPr="001763B5">
              <w:rPr>
                <w:lang w:val="en-GB"/>
              </w:rPr>
              <w:t>are located in</w:t>
            </w:r>
            <w:proofErr w:type="gramEnd"/>
            <w:r w:rsidRPr="001763B5">
              <w:rPr>
                <w:lang w:val="en-GB"/>
              </w:rPr>
              <w:t xml:space="preserve"> Zadar settlement. This puts additional pressure on mobility flows. Public transport is not always in accordance with school </w:t>
            </w:r>
            <w:proofErr w:type="gramStart"/>
            <w:r w:rsidRPr="001763B5">
              <w:rPr>
                <w:lang w:val="en-GB"/>
              </w:rPr>
              <w:t>schedule</w:t>
            </w:r>
            <w:proofErr w:type="gramEnd"/>
            <w:r w:rsidRPr="001763B5">
              <w:rPr>
                <w:lang w:val="en-GB"/>
              </w:rPr>
              <w:t xml:space="preserve"> so parents often drive their children to school</w:t>
            </w:r>
            <w:r>
              <w:rPr>
                <w:lang w:val="en-GB"/>
              </w:rPr>
              <w:t xml:space="preserve"> or back home</w:t>
            </w:r>
            <w:bookmarkStart w:id="6" w:name="_Hlk503003408"/>
            <w:r w:rsidRPr="001763B5">
              <w:rPr>
                <w:lang w:val="en-GB"/>
              </w:rPr>
              <w:t>. If SUMP priorities will be implemented it will improve citizen’s mobility and facilitate access to all urban services. Prices of public transport will decrease.</w:t>
            </w:r>
            <w:bookmarkEnd w:id="6"/>
            <w:r w:rsidRPr="001763B5">
              <w:rPr>
                <w:lang w:val="en-GB"/>
              </w:rPr>
              <w:t xml:space="preserve"> </w:t>
            </w:r>
            <w:bookmarkStart w:id="7" w:name="_Hlk503003355"/>
            <w:proofErr w:type="gramStart"/>
            <w:r w:rsidRPr="001763B5">
              <w:rPr>
                <w:lang w:val="en-GB"/>
              </w:rPr>
              <w:t>At the moment</w:t>
            </w:r>
            <w:proofErr w:type="gramEnd"/>
            <w:r w:rsidRPr="001763B5">
              <w:rPr>
                <w:lang w:val="en-GB"/>
              </w:rPr>
              <w:t xml:space="preserve"> there are discounts for senior citizens, school children, students and worker for buying monthly bus ticket.</w:t>
            </w:r>
            <w:bookmarkEnd w:id="7"/>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 xml:space="preserve">How will the transport-related cost </w:t>
      </w:r>
      <w:proofErr w:type="gramStart"/>
      <w:r w:rsidRPr="001763B5">
        <w:rPr>
          <w:lang w:val="en-GB"/>
        </w:rPr>
        <w:t>paid</w:t>
      </w:r>
      <w:proofErr w:type="gramEnd"/>
      <w:r w:rsidRPr="001763B5">
        <w:rPr>
          <w:lang w:val="en-GB"/>
        </w:rPr>
        <w:t xml:space="preserve"> by each end user change? How will the transport-related cost </w:t>
      </w:r>
      <w:proofErr w:type="gramStart"/>
      <w:r w:rsidRPr="001763B5">
        <w:rPr>
          <w:lang w:val="en-GB"/>
        </w:rPr>
        <w:t>paid</w:t>
      </w:r>
      <w:proofErr w:type="gramEnd"/>
      <w:r w:rsidRPr="001763B5">
        <w:rPr>
          <w:lang w:val="en-GB"/>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Costs are always adjusted according to the demand and the supply</w:t>
            </w:r>
            <w:r>
              <w:rPr>
                <w:lang w:val="en-GB"/>
              </w:rPr>
              <w:t>, local/regional public policies, taw regulations and global market trends (fuel cost)</w:t>
            </w:r>
            <w:r w:rsidRPr="001763B5">
              <w:rPr>
                <w:lang w:val="en-GB"/>
              </w:rPr>
              <w:t xml:space="preserve">. </w:t>
            </w:r>
            <w:bookmarkStart w:id="8" w:name="_Hlk503005748"/>
            <w:r w:rsidRPr="001763B5">
              <w:rPr>
                <w:lang w:val="en-GB"/>
              </w:rPr>
              <w:t>Since in Zadar FUA there are usually only one provider for every transport means prices will probably stay the same</w:t>
            </w:r>
            <w:bookmarkEnd w:id="8"/>
            <w:r w:rsidRPr="001763B5">
              <w:rPr>
                <w:lang w:val="en-GB"/>
              </w:rPr>
              <w:t xml:space="preserve">. </w:t>
            </w:r>
            <w:proofErr w:type="gramStart"/>
            <w:r w:rsidRPr="001763B5">
              <w:rPr>
                <w:lang w:val="en-GB"/>
              </w:rPr>
              <w:t>At the moment</w:t>
            </w:r>
            <w:proofErr w:type="gramEnd"/>
            <w:r w:rsidRPr="001763B5">
              <w:rPr>
                <w:lang w:val="en-GB"/>
              </w:rPr>
              <w:t xml:space="preserve"> their operations largely depend on government subsidies, especially when maritime transport is in question. The cost for the end user will probably </w:t>
            </w:r>
            <w:r>
              <w:rPr>
                <w:lang w:val="en-GB"/>
              </w:rPr>
              <w:t xml:space="preserve">depend on all the </w:t>
            </w:r>
            <w:proofErr w:type="gramStart"/>
            <w:r>
              <w:rPr>
                <w:lang w:val="en-GB"/>
              </w:rPr>
              <w:t>aforementioned parameters</w:t>
            </w:r>
            <w:proofErr w:type="gramEnd"/>
            <w:r w:rsidRPr="001763B5">
              <w:rPr>
                <w:lang w:val="en-GB"/>
              </w:rPr>
              <w:t xml:space="preserve">. </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 xml:space="preserve">Decreasing of the transport-related energy consumption is always one of the very important issues concerning mobility. There are no sufficient data to determine what will happen in the future. </w:t>
            </w:r>
            <w:bookmarkStart w:id="9" w:name="_Hlk503005860"/>
            <w:r>
              <w:rPr>
                <w:lang w:val="en-GB"/>
              </w:rPr>
              <w:t xml:space="preserve">If the number of population will increase so will the transport-related energy consumption. </w:t>
            </w:r>
            <w:bookmarkEnd w:id="9"/>
            <w:proofErr w:type="gramStart"/>
            <w:r>
              <w:rPr>
                <w:lang w:val="en-GB"/>
              </w:rPr>
              <w:t>Also</w:t>
            </w:r>
            <w:proofErr w:type="gramEnd"/>
            <w:r>
              <w:rPr>
                <w:lang w:val="en-GB"/>
              </w:rPr>
              <w:t xml:space="preserve"> introduction of new technologies and new mobility solutions may significantly increase/decrease transport-related energy consumption.</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10" w:name="_Hlk503005899"/>
            <w:r w:rsidRPr="001763B5">
              <w:rPr>
                <w:lang w:val="en-GB"/>
              </w:rPr>
              <w:t xml:space="preserve">Overall change will lead to decrease of transport-related CO2 emission in FUA Zadar. </w:t>
            </w:r>
            <w:bookmarkEnd w:id="10"/>
            <w:proofErr w:type="gramStart"/>
            <w:r>
              <w:rPr>
                <w:lang w:val="en-GB"/>
              </w:rPr>
              <w:t>At the moment</w:t>
            </w:r>
            <w:proofErr w:type="gramEnd"/>
            <w:r>
              <w:rPr>
                <w:lang w:val="en-GB"/>
              </w:rPr>
              <w:t xml:space="preserve"> government policy encourages reduction of CO2 emission by extra taxing cars with higher CO2 emission.</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p>
    <w:p w:rsidR="00B20C38" w:rsidRPr="00B20C38" w:rsidRDefault="00B20C38" w:rsidP="00B20C38">
      <w:pPr>
        <w:rPr>
          <w:rFonts w:asciiTheme="majorHAnsi" w:eastAsiaTheme="majorEastAsia" w:hAnsiTheme="majorHAnsi" w:cstheme="majorBidi"/>
          <w:spacing w:val="-10"/>
          <w:kern w:val="28"/>
          <w:sz w:val="56"/>
          <w:szCs w:val="56"/>
          <w:lang w:val="en-GB"/>
        </w:rPr>
      </w:pPr>
      <w:r>
        <w:rPr>
          <w:rFonts w:asciiTheme="majorHAnsi" w:eastAsiaTheme="majorEastAsia" w:hAnsiTheme="majorHAnsi" w:cstheme="majorBidi"/>
          <w:spacing w:val="-10"/>
          <w:kern w:val="28"/>
          <w:sz w:val="56"/>
          <w:szCs w:val="56"/>
          <w:lang w:val="en-GB"/>
        </w:rPr>
        <w:br w:type="page"/>
      </w:r>
    </w:p>
    <w:p w:rsidR="00B20C38" w:rsidRPr="001763B5" w:rsidRDefault="00B20C38" w:rsidP="00B20C38">
      <w:pPr>
        <w:pStyle w:val="Cmsor1"/>
        <w:rPr>
          <w:lang w:val="en-GB"/>
        </w:rPr>
      </w:pPr>
      <w:r w:rsidRPr="001763B5">
        <w:rPr>
          <w:lang w:val="en-GB"/>
        </w:rPr>
        <w:lastRenderedPageBreak/>
        <w:t>1. Information about this test scenario</w:t>
      </w:r>
    </w:p>
    <w:tbl>
      <w:tblPr>
        <w:tblStyle w:val="Rcsostblzat"/>
        <w:tblW w:w="0" w:type="auto"/>
        <w:tblLook w:val="04A0" w:firstRow="1" w:lastRow="0" w:firstColumn="1" w:lastColumn="0" w:noHBand="0" w:noVBand="1"/>
      </w:tblPr>
      <w:tblGrid>
        <w:gridCol w:w="1980"/>
        <w:gridCol w:w="7416"/>
      </w:tblGrid>
      <w:tr w:rsidR="00B20C38" w:rsidRPr="001763B5" w:rsidTr="004079A0">
        <w:tc>
          <w:tcPr>
            <w:tcW w:w="1980" w:type="dxa"/>
          </w:tcPr>
          <w:p w:rsidR="00B20C38" w:rsidRPr="001763B5" w:rsidRDefault="00B20C38" w:rsidP="004079A0">
            <w:pPr>
              <w:jc w:val="both"/>
              <w:rPr>
                <w:lang w:val="en-GB"/>
              </w:rPr>
            </w:pPr>
            <w:r w:rsidRPr="001763B5">
              <w:rPr>
                <w:lang w:val="en-GB"/>
              </w:rPr>
              <w:t>FUA Name</w:t>
            </w:r>
          </w:p>
        </w:tc>
        <w:tc>
          <w:tcPr>
            <w:tcW w:w="7416" w:type="dxa"/>
          </w:tcPr>
          <w:p w:rsidR="00B20C38" w:rsidRPr="001763B5" w:rsidRDefault="00B20C38" w:rsidP="004079A0">
            <w:pPr>
              <w:jc w:val="both"/>
              <w:rPr>
                <w:lang w:val="en-GB"/>
              </w:rPr>
            </w:pPr>
            <w:r w:rsidRPr="001763B5">
              <w:rPr>
                <w:lang w:val="en-GB"/>
              </w:rPr>
              <w:t>Zadar</w:t>
            </w:r>
          </w:p>
        </w:tc>
      </w:tr>
      <w:tr w:rsidR="00B20C38" w:rsidRPr="001763B5" w:rsidTr="004079A0">
        <w:tc>
          <w:tcPr>
            <w:tcW w:w="1980" w:type="dxa"/>
          </w:tcPr>
          <w:p w:rsidR="00B20C38" w:rsidRPr="001763B5" w:rsidRDefault="00B20C38" w:rsidP="004079A0">
            <w:pPr>
              <w:jc w:val="both"/>
              <w:rPr>
                <w:lang w:val="en-GB"/>
              </w:rPr>
            </w:pPr>
            <w:r w:rsidRPr="001763B5">
              <w:rPr>
                <w:lang w:val="en-GB"/>
              </w:rPr>
              <w:t>Scenario Name</w:t>
            </w:r>
          </w:p>
        </w:tc>
        <w:tc>
          <w:tcPr>
            <w:tcW w:w="7416" w:type="dxa"/>
          </w:tcPr>
          <w:p w:rsidR="00B20C38" w:rsidRPr="00B20C38" w:rsidRDefault="00B20C38" w:rsidP="004079A0">
            <w:pPr>
              <w:jc w:val="both"/>
              <w:rPr>
                <w:b/>
                <w:sz w:val="24"/>
                <w:szCs w:val="24"/>
                <w:lang w:val="en-GB"/>
              </w:rPr>
            </w:pPr>
            <w:bookmarkStart w:id="11" w:name="_Hlk503005945"/>
            <w:r w:rsidRPr="00B20C38">
              <w:rPr>
                <w:b/>
                <w:sz w:val="24"/>
                <w:szCs w:val="24"/>
                <w:lang w:val="en-GB"/>
              </w:rPr>
              <w:t xml:space="preserve">Fostering “active” transport modes (walking and cycling) </w:t>
            </w:r>
            <w:bookmarkEnd w:id="11"/>
            <w:r w:rsidRPr="00B20C38">
              <w:rPr>
                <w:b/>
                <w:sz w:val="24"/>
                <w:szCs w:val="24"/>
                <w:lang w:val="en-GB"/>
              </w:rPr>
              <w:t>GROUP 1</w:t>
            </w:r>
          </w:p>
        </w:tc>
      </w:tr>
      <w:tr w:rsidR="00B20C38" w:rsidRPr="001763B5" w:rsidTr="004079A0">
        <w:tc>
          <w:tcPr>
            <w:tcW w:w="1980" w:type="dxa"/>
          </w:tcPr>
          <w:p w:rsidR="00B20C38" w:rsidRPr="001763B5" w:rsidRDefault="00B20C38" w:rsidP="004079A0">
            <w:pPr>
              <w:jc w:val="both"/>
              <w:rPr>
                <w:lang w:val="en-GB"/>
              </w:rPr>
            </w:pPr>
            <w:r w:rsidRPr="001763B5">
              <w:rPr>
                <w:lang w:val="en-GB"/>
              </w:rPr>
              <w:t>Date</w:t>
            </w:r>
          </w:p>
        </w:tc>
        <w:tc>
          <w:tcPr>
            <w:tcW w:w="7416" w:type="dxa"/>
          </w:tcPr>
          <w:p w:rsidR="00B20C38" w:rsidRPr="001763B5" w:rsidRDefault="00B20C38" w:rsidP="004079A0">
            <w:pPr>
              <w:jc w:val="both"/>
              <w:rPr>
                <w:lang w:val="en-GB"/>
              </w:rPr>
            </w:pPr>
            <w:r w:rsidRPr="001763B5">
              <w:rPr>
                <w:lang w:val="en-GB"/>
              </w:rPr>
              <w:t>17. 11. 2017.</w:t>
            </w:r>
          </w:p>
        </w:tc>
      </w:tr>
      <w:tr w:rsidR="00B20C38" w:rsidRPr="001763B5" w:rsidTr="004079A0">
        <w:tc>
          <w:tcPr>
            <w:tcW w:w="1980" w:type="dxa"/>
          </w:tcPr>
          <w:p w:rsidR="00B20C38" w:rsidRPr="001763B5" w:rsidRDefault="00B20C38" w:rsidP="004079A0">
            <w:pPr>
              <w:jc w:val="both"/>
              <w:rPr>
                <w:lang w:val="en-GB"/>
              </w:rPr>
            </w:pPr>
            <w:r w:rsidRPr="001763B5">
              <w:rPr>
                <w:lang w:val="en-GB"/>
              </w:rPr>
              <w:t>Policy target year</w:t>
            </w:r>
          </w:p>
        </w:tc>
        <w:tc>
          <w:tcPr>
            <w:tcW w:w="7416" w:type="dxa"/>
          </w:tcPr>
          <w:p w:rsidR="00B20C38" w:rsidRPr="001763B5" w:rsidRDefault="00B20C38" w:rsidP="004079A0">
            <w:pPr>
              <w:jc w:val="both"/>
              <w:rPr>
                <w:lang w:val="en-GB"/>
              </w:rPr>
            </w:pPr>
            <w:r w:rsidRPr="001763B5">
              <w:rPr>
                <w:lang w:val="en-GB"/>
              </w:rPr>
              <w:t xml:space="preserve">2025 </w:t>
            </w:r>
          </w:p>
        </w:tc>
      </w:tr>
      <w:tr w:rsidR="00B20C38" w:rsidRPr="001763B5" w:rsidTr="004079A0">
        <w:tc>
          <w:tcPr>
            <w:tcW w:w="1980" w:type="dxa"/>
          </w:tcPr>
          <w:p w:rsidR="00B20C38" w:rsidRPr="001763B5" w:rsidRDefault="00B20C38" w:rsidP="004079A0">
            <w:pPr>
              <w:jc w:val="both"/>
              <w:rPr>
                <w:lang w:val="en-GB"/>
              </w:rPr>
            </w:pPr>
            <w:r w:rsidRPr="001763B5">
              <w:rPr>
                <w:lang w:val="en-GB"/>
              </w:rPr>
              <w:t>Contributor</w:t>
            </w:r>
          </w:p>
        </w:tc>
        <w:tc>
          <w:tcPr>
            <w:tcW w:w="7416" w:type="dxa"/>
          </w:tcPr>
          <w:p w:rsidR="00B20C38" w:rsidRPr="001763B5" w:rsidRDefault="00B20C38" w:rsidP="004079A0">
            <w:pPr>
              <w:jc w:val="both"/>
              <w:rPr>
                <w:lang w:val="en-GB"/>
              </w:rPr>
            </w:pPr>
            <w:r w:rsidRPr="001763B5">
              <w:rPr>
                <w:lang w:val="en-GB"/>
              </w:rPr>
              <w:t xml:space="preserve">Josip </w:t>
            </w:r>
            <w:proofErr w:type="spellStart"/>
            <w:r w:rsidRPr="001763B5">
              <w:rPr>
                <w:lang w:val="en-GB"/>
              </w:rPr>
              <w:t>Faričić</w:t>
            </w:r>
            <w:proofErr w:type="spellEnd"/>
            <w:r w:rsidRPr="001763B5">
              <w:rPr>
                <w:lang w:val="en-GB"/>
              </w:rPr>
              <w:t>, full professor</w:t>
            </w:r>
          </w:p>
          <w:p w:rsidR="00B20C38" w:rsidRPr="001763B5" w:rsidRDefault="00B20C38" w:rsidP="004079A0">
            <w:pPr>
              <w:jc w:val="both"/>
              <w:rPr>
                <w:lang w:val="en-GB"/>
              </w:rPr>
            </w:pPr>
            <w:r w:rsidRPr="001763B5">
              <w:rPr>
                <w:lang w:val="en-GB"/>
              </w:rPr>
              <w:t xml:space="preserve">Ana </w:t>
            </w:r>
            <w:proofErr w:type="spellStart"/>
            <w:r w:rsidRPr="001763B5">
              <w:rPr>
                <w:lang w:val="en-GB"/>
              </w:rPr>
              <w:t>Pejdo</w:t>
            </w:r>
            <w:proofErr w:type="spellEnd"/>
            <w:r w:rsidRPr="001763B5">
              <w:rPr>
                <w:lang w:val="en-GB"/>
              </w:rPr>
              <w:t>, assistant professor</w:t>
            </w:r>
          </w:p>
          <w:p w:rsidR="00B20C38" w:rsidRDefault="00B20C38" w:rsidP="004079A0">
            <w:pPr>
              <w:jc w:val="both"/>
              <w:rPr>
                <w:lang w:val="en-GB"/>
              </w:rPr>
            </w:pPr>
            <w:r w:rsidRPr="001763B5">
              <w:rPr>
                <w:lang w:val="en-GB"/>
              </w:rPr>
              <w:t xml:space="preserve">Tome </w:t>
            </w:r>
            <w:proofErr w:type="spellStart"/>
            <w:r w:rsidRPr="001763B5">
              <w:rPr>
                <w:lang w:val="en-GB"/>
              </w:rPr>
              <w:t>Marelić</w:t>
            </w:r>
            <w:proofErr w:type="spellEnd"/>
            <w:r w:rsidRPr="001763B5">
              <w:rPr>
                <w:lang w:val="en-GB"/>
              </w:rPr>
              <w:t>, research assistant</w:t>
            </w:r>
          </w:p>
          <w:p w:rsidR="00B20C38" w:rsidRPr="001763B5" w:rsidRDefault="00B20C38" w:rsidP="004079A0">
            <w:pPr>
              <w:jc w:val="both"/>
              <w:rPr>
                <w:lang w:val="en-GB"/>
              </w:rPr>
            </w:pPr>
            <w:proofErr w:type="spellStart"/>
            <w:r>
              <w:rPr>
                <w:lang w:val="en-GB"/>
              </w:rPr>
              <w:t>Anica</w:t>
            </w:r>
            <w:proofErr w:type="spellEnd"/>
            <w:r>
              <w:rPr>
                <w:lang w:val="en-GB"/>
              </w:rPr>
              <w:t xml:space="preserve"> </w:t>
            </w:r>
            <w:proofErr w:type="spellStart"/>
            <w:r>
              <w:rPr>
                <w:lang w:val="en-GB"/>
              </w:rPr>
              <w:t>Čuka</w:t>
            </w:r>
            <w:proofErr w:type="spellEnd"/>
            <w:r>
              <w:rPr>
                <w:lang w:val="en-GB"/>
              </w:rPr>
              <w:t>, associate professor</w:t>
            </w:r>
          </w:p>
        </w:tc>
      </w:tr>
    </w:tbl>
    <w:p w:rsidR="00B20C38" w:rsidRPr="001763B5" w:rsidRDefault="00B20C38" w:rsidP="00B20C38">
      <w:pPr>
        <w:pStyle w:val="Cmsor1"/>
        <w:jc w:val="both"/>
        <w:rPr>
          <w:lang w:val="en-GB"/>
        </w:rPr>
      </w:pPr>
      <w:r w:rsidRPr="001763B5">
        <w:rPr>
          <w:lang w:val="en-GB"/>
        </w:rPr>
        <w:t>2. Describe this scenario</w:t>
      </w:r>
    </w:p>
    <w:p w:rsidR="00B20C38" w:rsidRPr="001763B5" w:rsidRDefault="00B20C38" w:rsidP="00B20C38">
      <w:pPr>
        <w:pStyle w:val="Listaszerbekezds"/>
        <w:numPr>
          <w:ilvl w:val="0"/>
          <w:numId w:val="1"/>
        </w:numPr>
        <w:jc w:val="both"/>
        <w:rPr>
          <w:lang w:val="en-GB"/>
        </w:rPr>
      </w:pPr>
      <w:r w:rsidRPr="001763B5">
        <w:rPr>
          <w:lang w:val="en-GB"/>
        </w:rPr>
        <w:t>Max. in 10 lines</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6F6C18" w:rsidRDefault="00B20C38" w:rsidP="004079A0">
            <w:pPr>
              <w:jc w:val="both"/>
              <w:rPr>
                <w:lang w:val="en-GB"/>
              </w:rPr>
            </w:pPr>
            <w:r>
              <w:rPr>
                <w:lang w:val="en-GB"/>
              </w:rPr>
              <w:t xml:space="preserve">According to proposed documentation around </w:t>
            </w:r>
            <w:r w:rsidRPr="006F6C18">
              <w:rPr>
                <w:lang w:val="en-GB"/>
              </w:rPr>
              <w:t>200 km of cycling lanes will be implemented in Zadar FUA</w:t>
            </w:r>
            <w:r>
              <w:rPr>
                <w:lang w:val="en-GB"/>
              </w:rPr>
              <w:t xml:space="preserve"> until 2025</w:t>
            </w:r>
            <w:r w:rsidRPr="006F6C18">
              <w:rPr>
                <w:lang w:val="en-GB"/>
              </w:rPr>
              <w:t xml:space="preserve">. Road network in all </w:t>
            </w:r>
            <w:r>
              <w:rPr>
                <w:lang w:val="en-GB"/>
              </w:rPr>
              <w:t>settlements</w:t>
            </w:r>
            <w:r w:rsidRPr="006F6C18">
              <w:rPr>
                <w:lang w:val="en-GB"/>
              </w:rPr>
              <w:t xml:space="preserve"> in Zadar FUA will be modified and new routes will be implemented for each mode of transport.  Since the only provider for public transport in Zadar FUA is bus company only bus routes need to be adjusted. Parts of the </w:t>
            </w:r>
            <w:r>
              <w:rPr>
                <w:lang w:val="en-GB"/>
              </w:rPr>
              <w:t>Zadar city centre</w:t>
            </w:r>
            <w:r w:rsidRPr="006F6C18">
              <w:rPr>
                <w:lang w:val="en-GB"/>
              </w:rPr>
              <w:t xml:space="preserve"> will be closed to motorized vehicles and above ground parking. Priority will be given to pedestrians. Only residential traffic, services, emergency vehicles, and loading/unloading vehicles under special circumstances will be allowed into these areas. </w:t>
            </w:r>
          </w:p>
          <w:p w:rsidR="00B20C38" w:rsidRDefault="00B20C38" w:rsidP="004079A0">
            <w:pPr>
              <w:jc w:val="both"/>
              <w:rPr>
                <w:lang w:val="en-GB"/>
              </w:rPr>
            </w:pPr>
            <w:r w:rsidRPr="006F6C18">
              <w:rPr>
                <w:lang w:val="en-GB"/>
              </w:rPr>
              <w:t>The most important changes will be done in the core city</w:t>
            </w:r>
            <w:r>
              <w:rPr>
                <w:lang w:val="en-GB"/>
              </w:rPr>
              <w:t>,</w:t>
            </w:r>
            <w:r w:rsidRPr="006F6C18">
              <w:rPr>
                <w:lang w:val="en-GB"/>
              </w:rPr>
              <w:t xml:space="preserve"> especially on the Zadar peninsula which will be turned into shared space or pedestrian zone.</w:t>
            </w:r>
          </w:p>
          <w:p w:rsidR="00B20C38" w:rsidRPr="00385905" w:rsidRDefault="00B20C38" w:rsidP="004079A0">
            <w:pPr>
              <w:jc w:val="both"/>
              <w:rPr>
                <w:color w:val="FF0000"/>
                <w:lang w:val="en-GB"/>
              </w:rPr>
            </w:pPr>
          </w:p>
        </w:tc>
      </w:tr>
    </w:tbl>
    <w:p w:rsidR="00B20C38" w:rsidRPr="001763B5" w:rsidRDefault="00B20C38" w:rsidP="00B20C38">
      <w:pPr>
        <w:jc w:val="both"/>
        <w:rPr>
          <w:lang w:val="en-GB"/>
        </w:rPr>
      </w:pPr>
    </w:p>
    <w:p w:rsidR="00B20C38" w:rsidRPr="001763B5" w:rsidRDefault="00B20C38" w:rsidP="00B20C38">
      <w:pPr>
        <w:pStyle w:val="Cmsor1"/>
        <w:jc w:val="both"/>
        <w:rPr>
          <w:lang w:val="en-GB"/>
        </w:rPr>
      </w:pPr>
      <w:r w:rsidRPr="001763B5">
        <w:rPr>
          <w:lang w:val="en-GB"/>
        </w:rPr>
        <w:t>3. Assessment of consequences</w:t>
      </w:r>
    </w:p>
    <w:p w:rsidR="00B20C38" w:rsidRPr="001763B5" w:rsidRDefault="00B20C38" w:rsidP="00B20C38">
      <w:pPr>
        <w:jc w:val="both"/>
        <w:rPr>
          <w:lang w:val="en-GB"/>
        </w:rPr>
      </w:pPr>
      <w:r w:rsidRPr="001763B5">
        <w:rPr>
          <w:lang w:val="en-GB"/>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 xml:space="preserve">FUA Zadar population slightly increased during the last ten years. In relation to previous decades this increase is rather small. However, along with Zagreb and other settlements in its vicinity, Zadar is one of the rare settlements in Croatia which has recorded increase in population number according to the last official Population Census. The number of woman is higher in the old age group while in the mature age group the number of woman and man is almost equal.  </w:t>
            </w:r>
          </w:p>
          <w:tbl>
            <w:tblPr>
              <w:tblStyle w:val="Rcsostblzat"/>
              <w:tblW w:w="6871" w:type="dxa"/>
              <w:tblLook w:val="04A0" w:firstRow="1" w:lastRow="0" w:firstColumn="1" w:lastColumn="0" w:noHBand="0" w:noVBand="1"/>
            </w:tblPr>
            <w:tblGrid>
              <w:gridCol w:w="1374"/>
              <w:gridCol w:w="1374"/>
              <w:gridCol w:w="1374"/>
              <w:gridCol w:w="1374"/>
              <w:gridCol w:w="1375"/>
            </w:tblGrid>
            <w:tr w:rsidR="00B20C38" w:rsidRPr="001763B5" w:rsidTr="004079A0">
              <w:trPr>
                <w:trHeight w:val="679"/>
              </w:trPr>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p>
              </w:tc>
              <w:tc>
                <w:tcPr>
                  <w:tcW w:w="5497" w:type="dxa"/>
                  <w:gridSpan w:val="4"/>
                  <w:vAlign w:val="center"/>
                </w:tcPr>
                <w:p w:rsidR="00B20C38" w:rsidRPr="001763B5" w:rsidRDefault="00B20C38" w:rsidP="004079A0">
                  <w:pPr>
                    <w:jc w:val="center"/>
                    <w:rPr>
                      <w:bCs/>
                      <w:color w:val="000000"/>
                      <w:sz w:val="20"/>
                      <w:szCs w:val="20"/>
                      <w:lang w:val="en-GB"/>
                    </w:rPr>
                  </w:pPr>
                  <w:r>
                    <w:rPr>
                      <w:bCs/>
                      <w:color w:val="000000"/>
                      <w:sz w:val="20"/>
                      <w:szCs w:val="20"/>
                      <w:lang w:val="en-GB"/>
                    </w:rPr>
                    <w:t>Population growth</w:t>
                  </w:r>
                </w:p>
              </w:tc>
            </w:tr>
            <w:tr w:rsidR="00B20C38" w:rsidRPr="001763B5" w:rsidTr="004079A0">
              <w:trPr>
                <w:trHeight w:val="679"/>
              </w:trPr>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r>
                    <w:rPr>
                      <w:rFonts w:eastAsia="Times New Roman" w:cs="Times New Roman"/>
                      <w:iCs/>
                      <w:color w:val="000000"/>
                      <w:sz w:val="20"/>
                      <w:szCs w:val="20"/>
                      <w:lang w:val="en-GB" w:eastAsia="en-US"/>
                    </w:rPr>
                    <w:t xml:space="preserve">Periods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Zadar settlement</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City of Zadar</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Other municipalities of FUA in total</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5" w:type="dxa"/>
                  <w:vAlign w:val="center"/>
                </w:tcPr>
                <w:p w:rsidR="00B20C38" w:rsidRDefault="00B20C38" w:rsidP="004079A0">
                  <w:pPr>
                    <w:jc w:val="both"/>
                    <w:rPr>
                      <w:bCs/>
                      <w:color w:val="000000"/>
                      <w:sz w:val="20"/>
                      <w:szCs w:val="20"/>
                      <w:lang w:val="en-GB"/>
                    </w:rPr>
                  </w:pPr>
                  <w:r w:rsidRPr="001763B5">
                    <w:rPr>
                      <w:bCs/>
                      <w:color w:val="000000"/>
                      <w:sz w:val="20"/>
                      <w:szCs w:val="20"/>
                      <w:lang w:val="en-GB"/>
                    </w:rPr>
                    <w:t>FUA total</w:t>
                  </w:r>
                </w:p>
                <w:p w:rsidR="00B20C38" w:rsidRPr="001763B5" w:rsidRDefault="00B20C38" w:rsidP="004079A0">
                  <w:pPr>
                    <w:jc w:val="both"/>
                    <w:rPr>
                      <w:bCs/>
                      <w:color w:val="000000"/>
                      <w:sz w:val="20"/>
                      <w:szCs w:val="20"/>
                      <w:lang w:val="en-GB"/>
                    </w:rPr>
                  </w:pPr>
                  <w:r>
                    <w:rPr>
                      <w:bCs/>
                      <w:color w:val="000000"/>
                      <w:sz w:val="20"/>
                      <w:szCs w:val="20"/>
                      <w:lang w:val="en-GB"/>
                    </w:rPr>
                    <w:t>(in %)</w:t>
                  </w:r>
                </w:p>
              </w:tc>
            </w:tr>
            <w:tr w:rsidR="00B20C38" w:rsidRPr="001763B5" w:rsidTr="004079A0">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 xml:space="preserve"> 1970-1990</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68,4</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59,1</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0,2</w:t>
                  </w:r>
                </w:p>
              </w:tc>
              <w:tc>
                <w:tcPr>
                  <w:tcW w:w="1375"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30,6</w:t>
                  </w:r>
                </w:p>
              </w:tc>
            </w:tr>
            <w:tr w:rsidR="00B20C38" w:rsidRPr="001763B5" w:rsidTr="004079A0">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lastRenderedPageBreak/>
                    <w:t xml:space="preserve"> 1990-2010</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-6,4</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-6,6</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-19,7</w:t>
                  </w:r>
                </w:p>
              </w:tc>
              <w:tc>
                <w:tcPr>
                  <w:tcW w:w="1375"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-11,5</w:t>
                  </w:r>
                </w:p>
              </w:tc>
            </w:tr>
            <w:tr w:rsidR="00B20C38" w:rsidRPr="001763B5" w:rsidTr="004079A0">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2010-2030</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5,4</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6,2</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1,6</w:t>
                  </w:r>
                </w:p>
              </w:tc>
              <w:tc>
                <w:tcPr>
                  <w:tcW w:w="1375"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4,7</w:t>
                  </w:r>
                </w:p>
              </w:tc>
            </w:tr>
          </w:tbl>
          <w:p w:rsidR="00B20C38" w:rsidRPr="00385905" w:rsidRDefault="00B20C38" w:rsidP="004079A0">
            <w:pPr>
              <w:jc w:val="both"/>
            </w:pPr>
          </w:p>
          <w:p w:rsidR="00B20C38" w:rsidRDefault="00B20C38" w:rsidP="004079A0">
            <w:pPr>
              <w:jc w:val="both"/>
              <w:rPr>
                <w:lang w:val="en-GB"/>
              </w:rPr>
            </w:pPr>
            <w:bookmarkStart w:id="12" w:name="_Hlk503006354"/>
            <w:r w:rsidRPr="001763B5">
              <w:rPr>
                <w:lang w:val="en-GB"/>
              </w:rPr>
              <w:t xml:space="preserve">Until 2025 population number will slightly increase. </w:t>
            </w:r>
            <w:bookmarkEnd w:id="12"/>
            <w:r w:rsidRPr="001763B5">
              <w:rPr>
                <w:lang w:val="en-GB"/>
              </w:rPr>
              <w:t>Increase will be higher in City of Zadar than in other parts of FUA. There will be an increase of population in the over-60s age group in the entire FUA.</w:t>
            </w:r>
            <w:r>
              <w:rPr>
                <w:lang w:val="en-GB"/>
              </w:rPr>
              <w:t xml:space="preserve"> Turning of certain parts of the city into pedestrian zones will improve health condition for elderly population who will move more. On the other hand</w:t>
            </w:r>
            <w:r w:rsidR="00A32481">
              <w:rPr>
                <w:lang w:val="en-GB"/>
              </w:rPr>
              <w:t>,</w:t>
            </w:r>
            <w:r>
              <w:rPr>
                <w:lang w:val="en-GB"/>
              </w:rPr>
              <w:t xml:space="preserve"> public transport needs to be more </w:t>
            </w:r>
            <w:r w:rsidR="00A32481">
              <w:rPr>
                <w:lang w:val="en-GB"/>
              </w:rPr>
              <w:t>efficient,</w:t>
            </w:r>
            <w:r>
              <w:rPr>
                <w:lang w:val="en-GB"/>
              </w:rPr>
              <w:t xml:space="preserve"> so elderly population can have access to all public services even if they cannot drive by themselves any more.</w:t>
            </w:r>
          </w:p>
          <w:tbl>
            <w:tblPr>
              <w:tblStyle w:val="Rcsostblzat"/>
              <w:tblW w:w="6871" w:type="dxa"/>
              <w:tblLook w:val="04A0" w:firstRow="1" w:lastRow="0" w:firstColumn="1" w:lastColumn="0" w:noHBand="0" w:noVBand="1"/>
            </w:tblPr>
            <w:tblGrid>
              <w:gridCol w:w="1374"/>
              <w:gridCol w:w="1374"/>
              <w:gridCol w:w="1374"/>
              <w:gridCol w:w="1374"/>
              <w:gridCol w:w="1375"/>
            </w:tblGrid>
            <w:tr w:rsidR="00B20C38" w:rsidRPr="001763B5" w:rsidTr="004079A0">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p>
              </w:tc>
              <w:tc>
                <w:tcPr>
                  <w:tcW w:w="5497" w:type="dxa"/>
                  <w:gridSpan w:val="4"/>
                  <w:vAlign w:val="center"/>
                </w:tcPr>
                <w:p w:rsidR="00B20C38" w:rsidRPr="001763B5" w:rsidRDefault="00B20C38" w:rsidP="004079A0">
                  <w:pPr>
                    <w:jc w:val="center"/>
                    <w:rPr>
                      <w:bCs/>
                      <w:color w:val="000000"/>
                      <w:sz w:val="20"/>
                      <w:szCs w:val="20"/>
                      <w:lang w:val="en-GB"/>
                    </w:rPr>
                  </w:pPr>
                  <w:r>
                    <w:rPr>
                      <w:bCs/>
                      <w:color w:val="000000"/>
                      <w:sz w:val="20"/>
                      <w:szCs w:val="20"/>
                      <w:lang w:val="en-GB"/>
                    </w:rPr>
                    <w:t>Age structure</w:t>
                  </w:r>
                </w:p>
              </w:tc>
            </w:tr>
            <w:tr w:rsidR="00B20C38" w:rsidRPr="001763B5" w:rsidTr="004079A0">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r w:rsidRPr="001763B5">
                    <w:rPr>
                      <w:rFonts w:eastAsia="Times New Roman" w:cs="Times New Roman"/>
                      <w:iCs/>
                      <w:color w:val="000000"/>
                      <w:sz w:val="20"/>
                      <w:szCs w:val="20"/>
                      <w:lang w:val="en-GB" w:eastAsia="en-US"/>
                    </w:rPr>
                    <w:t>Age group</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Zadar settlement</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City of Zadar</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Other municipalities of FUA in total</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5" w:type="dxa"/>
                  <w:vAlign w:val="center"/>
                </w:tcPr>
                <w:p w:rsidR="00B20C38" w:rsidRDefault="00B20C38" w:rsidP="004079A0">
                  <w:pPr>
                    <w:jc w:val="both"/>
                    <w:rPr>
                      <w:bCs/>
                      <w:color w:val="000000"/>
                      <w:sz w:val="20"/>
                      <w:szCs w:val="20"/>
                      <w:lang w:val="en-GB"/>
                    </w:rPr>
                  </w:pPr>
                  <w:r w:rsidRPr="001763B5">
                    <w:rPr>
                      <w:bCs/>
                      <w:color w:val="000000"/>
                      <w:sz w:val="20"/>
                      <w:szCs w:val="20"/>
                      <w:lang w:val="en-GB"/>
                    </w:rPr>
                    <w:t>FUA total</w:t>
                  </w:r>
                </w:p>
                <w:p w:rsidR="00B20C38" w:rsidRPr="001763B5" w:rsidRDefault="00B20C38" w:rsidP="004079A0">
                  <w:pPr>
                    <w:jc w:val="both"/>
                    <w:rPr>
                      <w:bCs/>
                      <w:color w:val="000000"/>
                      <w:sz w:val="20"/>
                      <w:szCs w:val="20"/>
                      <w:lang w:val="en-GB"/>
                    </w:rPr>
                  </w:pPr>
                  <w:r>
                    <w:rPr>
                      <w:bCs/>
                      <w:color w:val="000000"/>
                      <w:sz w:val="20"/>
                      <w:szCs w:val="20"/>
                      <w:lang w:val="en-GB"/>
                    </w:rPr>
                    <w:t>(in %)</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 xml:space="preserve">0-14 </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9,0</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9,3</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4,5</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13,9</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15-39</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21,2</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21,8</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10,6</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32,5</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40-64</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24,8</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25,5</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11,3</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36,9</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65-84</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11,7</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12,3</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5,6</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17,9</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 xml:space="preserve">85+ </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2,3</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2,6</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1,5</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4,1</w:t>
                  </w:r>
                </w:p>
              </w:tc>
            </w:tr>
          </w:tbl>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13" w:name="_Hlk503006389"/>
            <w:r w:rsidRPr="001763B5">
              <w:rPr>
                <w:lang w:val="en-GB"/>
              </w:rPr>
              <w:t>Until 20</w:t>
            </w:r>
            <w:r>
              <w:rPr>
                <w:lang w:val="en-GB"/>
              </w:rPr>
              <w:t>2</w:t>
            </w:r>
            <w:r w:rsidRPr="001763B5">
              <w:rPr>
                <w:lang w:val="en-GB"/>
              </w:rPr>
              <w:t xml:space="preserve">5 all transport modes </w:t>
            </w:r>
            <w:r>
              <w:rPr>
                <w:lang w:val="en-GB"/>
              </w:rPr>
              <w:t xml:space="preserve">probably </w:t>
            </w:r>
            <w:r w:rsidRPr="001763B5">
              <w:rPr>
                <w:lang w:val="en-GB"/>
              </w:rPr>
              <w:t xml:space="preserve">will remain the same as today with more emphasis on the usage of clean vehicles and fuels. </w:t>
            </w:r>
            <w:bookmarkEnd w:id="13"/>
            <w:r w:rsidRPr="001763B5">
              <w:rPr>
                <w:lang w:val="en-GB"/>
              </w:rPr>
              <w:t xml:space="preserve">FUA Zadar in accordance with EU and National </w:t>
            </w:r>
            <w:r>
              <w:rPr>
                <w:lang w:val="en-GB"/>
              </w:rPr>
              <w:t>strategic documents</w:t>
            </w:r>
            <w:r w:rsidRPr="001763B5">
              <w:rPr>
                <w:lang w:val="en-GB"/>
              </w:rPr>
              <w:t xml:space="preserve"> will support the use of </w:t>
            </w:r>
            <w:r>
              <w:rPr>
                <w:lang w:val="en-GB"/>
              </w:rPr>
              <w:t>e-bikes</w:t>
            </w:r>
            <w:r w:rsidRPr="001763B5">
              <w:rPr>
                <w:lang w:val="en-GB"/>
              </w:rPr>
              <w:t>.</w:t>
            </w:r>
            <w:r>
              <w:rPr>
                <w:lang w:val="en-GB"/>
              </w:rPr>
              <w:t xml:space="preserve"> </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14" w:name="_Hlk503006461"/>
            <w:r w:rsidRPr="001763B5">
              <w:rPr>
                <w:lang w:val="en-GB"/>
              </w:rPr>
              <w:t xml:space="preserve">Due to improvements in public transport and the cycling network there will be fewer journeys with car. The share of public transport will increase. </w:t>
            </w:r>
            <w:bookmarkEnd w:id="14"/>
            <w:r w:rsidRPr="001763B5">
              <w:rPr>
                <w:lang w:val="en-GB"/>
              </w:rPr>
              <w:t>New shipping li</w:t>
            </w:r>
            <w:r>
              <w:rPr>
                <w:lang w:val="en-GB"/>
              </w:rPr>
              <w:t>nes will be introduced between i</w:t>
            </w:r>
            <w:r w:rsidRPr="001763B5">
              <w:rPr>
                <w:lang w:val="en-GB"/>
              </w:rPr>
              <w:t xml:space="preserve">slands. Number of pedestrians and cyclists will increase. </w:t>
            </w: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15" w:name="_Hlk503006534"/>
            <w:r w:rsidRPr="001763B5">
              <w:rPr>
                <w:lang w:val="en-GB"/>
              </w:rPr>
              <w:t xml:space="preserve"> </w:t>
            </w:r>
            <w:r w:rsidRPr="00676224">
              <w:rPr>
                <w:lang w:val="en-GB"/>
              </w:rPr>
              <w:t>Fostering “active” transport modes (walking and cycling)</w:t>
            </w:r>
            <w:r>
              <w:rPr>
                <w:lang w:val="en-GB"/>
              </w:rPr>
              <w:t xml:space="preserve"> is in line with all upper-level transport policies; </w:t>
            </w:r>
            <w:bookmarkEnd w:id="15"/>
            <w:r>
              <w:rPr>
                <w:lang w:val="en-GB"/>
              </w:rPr>
              <w:t xml:space="preserve">regional/national/EU. In all the mentioned official documents needs of an individual are in the centre of their focus with special emphasis on increasing the share of walking and cycling. There is a plan for </w:t>
            </w:r>
            <w:r>
              <w:rPr>
                <w:lang w:val="en-GB"/>
              </w:rPr>
              <w:lastRenderedPageBreak/>
              <w:t xml:space="preserve">turning historic Zadar city centre into shared pedestrian zone since majority of tourist </w:t>
            </w:r>
            <w:proofErr w:type="gramStart"/>
            <w:r>
              <w:rPr>
                <w:lang w:val="en-GB"/>
              </w:rPr>
              <w:t>attractions</w:t>
            </w:r>
            <w:proofErr w:type="gramEnd"/>
            <w:r>
              <w:rPr>
                <w:lang w:val="en-GB"/>
              </w:rPr>
              <w:t xml:space="preserve"> but also public and governmental services/offices are located there. </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Is the overall situation improving the living quality of your FUA?</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16" w:name="_Hlk503006565"/>
            <w:r w:rsidRPr="001763B5">
              <w:rPr>
                <w:lang w:val="en-GB"/>
              </w:rPr>
              <w:t xml:space="preserve">If all the priorities listed </w:t>
            </w:r>
            <w:r>
              <w:rPr>
                <w:lang w:val="en-GB"/>
              </w:rPr>
              <w:t>in the description of this scenario</w:t>
            </w:r>
            <w:r w:rsidRPr="001763B5">
              <w:rPr>
                <w:lang w:val="en-GB"/>
              </w:rPr>
              <w:t xml:space="preserve"> will b</w:t>
            </w:r>
            <w:r>
              <w:rPr>
                <w:lang w:val="en-GB"/>
              </w:rPr>
              <w:t>e implemented the quality of lif</w:t>
            </w:r>
            <w:r w:rsidRPr="001763B5">
              <w:rPr>
                <w:lang w:val="en-GB"/>
              </w:rPr>
              <w:t>e will improve.</w:t>
            </w:r>
            <w:r>
              <w:rPr>
                <w:lang w:val="en-GB"/>
              </w:rPr>
              <w:t xml:space="preserve"> </w:t>
            </w:r>
            <w:r w:rsidRPr="001763B5">
              <w:rPr>
                <w:lang w:val="en-GB"/>
              </w:rPr>
              <w:t xml:space="preserve"> </w:t>
            </w:r>
            <w:bookmarkEnd w:id="16"/>
            <w:r w:rsidRPr="001763B5">
              <w:rPr>
                <w:lang w:val="en-GB"/>
              </w:rPr>
              <w:t>This all will lead to air quality improvements, noise reduction and positive health effects.</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 xml:space="preserve">What are the effects on </w:t>
      </w:r>
      <w:proofErr w:type="gramStart"/>
      <w:r w:rsidRPr="001763B5">
        <w:rPr>
          <w:lang w:val="en-GB"/>
        </w:rPr>
        <w:t>particular demographic</w:t>
      </w:r>
      <w:proofErr w:type="gramEnd"/>
      <w:r w:rsidRPr="001763B5">
        <w:rPr>
          <w:lang w:val="en-GB"/>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Pr>
                <w:lang w:val="en-GB"/>
              </w:rPr>
              <w:t>School c</w:t>
            </w:r>
            <w:r w:rsidRPr="00676224">
              <w:rPr>
                <w:lang w:val="en-GB"/>
              </w:rPr>
              <w:t xml:space="preserve">hildren </w:t>
            </w:r>
            <w:r>
              <w:rPr>
                <w:lang w:val="en-GB"/>
              </w:rPr>
              <w:t>and adults using</w:t>
            </w:r>
            <w:r w:rsidRPr="00676224">
              <w:rPr>
                <w:lang w:val="en-GB"/>
              </w:rPr>
              <w:t xml:space="preserve"> bicycles </w:t>
            </w:r>
            <w:r>
              <w:rPr>
                <w:lang w:val="en-GB"/>
              </w:rPr>
              <w:t>can</w:t>
            </w:r>
            <w:r w:rsidRPr="00676224">
              <w:rPr>
                <w:lang w:val="en-GB"/>
              </w:rPr>
              <w:t xml:space="preserve"> reduce their commute times. </w:t>
            </w:r>
            <w:bookmarkStart w:id="17" w:name="_Hlk503006661"/>
            <w:r>
              <w:rPr>
                <w:lang w:val="en-GB"/>
              </w:rPr>
              <w:t>Majority of them would use bicycles more if there were cycling lanes they could use</w:t>
            </w:r>
            <w:bookmarkEnd w:id="17"/>
            <w:r>
              <w:rPr>
                <w:lang w:val="en-GB"/>
              </w:rPr>
              <w:t>. For children it is very dangerous to cycle if they are using the same paths as cars. Cycling could be much faster than driving in cars</w:t>
            </w:r>
            <w:r w:rsidR="00A32481">
              <w:rPr>
                <w:lang w:val="en-GB"/>
              </w:rPr>
              <w:t>,</w:t>
            </w:r>
            <w:r>
              <w:rPr>
                <w:lang w:val="en-GB"/>
              </w:rPr>
              <w:t xml:space="preserve"> so </w:t>
            </w:r>
            <w:r w:rsidRPr="00676224">
              <w:rPr>
                <w:lang w:val="en-GB"/>
              </w:rPr>
              <w:t xml:space="preserve">they </w:t>
            </w:r>
            <w:r>
              <w:rPr>
                <w:lang w:val="en-GB"/>
              </w:rPr>
              <w:t xml:space="preserve">would </w:t>
            </w:r>
            <w:r w:rsidRPr="00676224">
              <w:rPr>
                <w:lang w:val="en-GB"/>
              </w:rPr>
              <w:t xml:space="preserve">have more time to study, </w:t>
            </w:r>
            <w:r>
              <w:rPr>
                <w:lang w:val="en-GB"/>
              </w:rPr>
              <w:t xml:space="preserve">to relax, to associate, etc. If e-bikes </w:t>
            </w:r>
            <w:r w:rsidR="00A32481">
              <w:rPr>
                <w:lang w:val="en-GB"/>
              </w:rPr>
              <w:t>were</w:t>
            </w:r>
            <w:r>
              <w:rPr>
                <w:lang w:val="en-GB"/>
              </w:rPr>
              <w:t xml:space="preserve"> introduced even elderly people could cycle more, especially during rush hours.</w:t>
            </w: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 xml:space="preserve">How will the transport-related cost </w:t>
      </w:r>
      <w:proofErr w:type="gramStart"/>
      <w:r w:rsidRPr="001763B5">
        <w:rPr>
          <w:lang w:val="en-GB"/>
        </w:rPr>
        <w:t>paid</w:t>
      </w:r>
      <w:proofErr w:type="gramEnd"/>
      <w:r w:rsidRPr="001763B5">
        <w:rPr>
          <w:lang w:val="en-GB"/>
        </w:rPr>
        <w:t xml:space="preserve"> by each end user change? How will the transport-related cost </w:t>
      </w:r>
      <w:proofErr w:type="gramStart"/>
      <w:r w:rsidRPr="001763B5">
        <w:rPr>
          <w:lang w:val="en-GB"/>
        </w:rPr>
        <w:t>paid</w:t>
      </w:r>
      <w:proofErr w:type="gramEnd"/>
      <w:r w:rsidRPr="001763B5">
        <w:rPr>
          <w:lang w:val="en-GB"/>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Costs are always adjusted according to the demand and the supply</w:t>
            </w:r>
            <w:r>
              <w:rPr>
                <w:lang w:val="en-GB"/>
              </w:rPr>
              <w:t>, local/regional public policies, taw regulations and global market trends (fuel cost)</w:t>
            </w:r>
            <w:r w:rsidRPr="001763B5">
              <w:rPr>
                <w:lang w:val="en-GB"/>
              </w:rPr>
              <w:t xml:space="preserve">. </w:t>
            </w:r>
            <w:r>
              <w:rPr>
                <w:lang w:val="en-GB"/>
              </w:rPr>
              <w:t xml:space="preserve">Regardless positive effects cycling and </w:t>
            </w:r>
            <w:proofErr w:type="gramStart"/>
            <w:r>
              <w:rPr>
                <w:lang w:val="en-GB"/>
              </w:rPr>
              <w:t>walking</w:t>
            </w:r>
            <w:proofErr w:type="gramEnd"/>
            <w:r>
              <w:rPr>
                <w:lang w:val="en-GB"/>
              </w:rPr>
              <w:t xml:space="preserve"> or implementation of superblocks and pedestrian areas could have on their health residents will object if the taxes and the costs of everyday life increase due to investments in transport infrastructure. </w:t>
            </w:r>
            <w:bookmarkStart w:id="18" w:name="_Hlk503006821"/>
            <w:r>
              <w:rPr>
                <w:lang w:val="en-GB"/>
              </w:rPr>
              <w:t>Municipality will need to invest more in infrastructure; building of new cycling lanes, buying e-bikes</w:t>
            </w:r>
            <w:bookmarkEnd w:id="18"/>
            <w:r>
              <w:rPr>
                <w:lang w:val="en-GB"/>
              </w:rPr>
              <w:t xml:space="preserve">, etc. Costs will depend on the all </w:t>
            </w:r>
            <w:proofErr w:type="gramStart"/>
            <w:r>
              <w:rPr>
                <w:lang w:val="en-GB"/>
              </w:rPr>
              <w:t>aforementioned factors</w:t>
            </w:r>
            <w:proofErr w:type="gramEnd"/>
            <w:r>
              <w:rPr>
                <w:lang w:val="en-GB"/>
              </w:rPr>
              <w:t>.</w:t>
            </w:r>
          </w:p>
        </w:tc>
      </w:tr>
    </w:tbl>
    <w:p w:rsidR="00B20C38" w:rsidRPr="001763B5" w:rsidRDefault="00B20C38" w:rsidP="00B20C38">
      <w:pPr>
        <w:jc w:val="both"/>
        <w:rPr>
          <w:lang w:val="en-GB"/>
        </w:rPr>
      </w:pPr>
    </w:p>
    <w:p w:rsidR="00B20C38" w:rsidRPr="001763B5" w:rsidRDefault="00B20C38" w:rsidP="00B20C38">
      <w:pPr>
        <w:jc w:val="both"/>
        <w:rPr>
          <w:lang w:val="en-GB"/>
        </w:rPr>
      </w:pPr>
    </w:p>
    <w:p w:rsidR="00B20C38" w:rsidRPr="001763B5" w:rsidRDefault="00B20C38" w:rsidP="00B20C38">
      <w:pPr>
        <w:jc w:val="both"/>
        <w:rPr>
          <w:lang w:val="en-GB"/>
        </w:rPr>
      </w:pPr>
      <w:r>
        <w:rPr>
          <w:lang w:val="en-GB"/>
        </w:rPr>
        <w:t>Will the overall change</w:t>
      </w:r>
      <w:r w:rsidRPr="001763B5">
        <w:rPr>
          <w:lang w:val="en-GB"/>
        </w:rPr>
        <w:t xml:space="preserve">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Pr>
                <w:lang w:val="en-GB"/>
              </w:rPr>
              <w:t xml:space="preserve">The transport-related energy consumption will decrease if more people will walk or cycle. </w:t>
            </w:r>
          </w:p>
          <w:p w:rsidR="00B20C38" w:rsidRPr="001763B5" w:rsidRDefault="00B20C38" w:rsidP="004079A0">
            <w:pPr>
              <w:jc w:val="both"/>
              <w:rPr>
                <w:lang w:val="en-GB"/>
              </w:rPr>
            </w:pPr>
          </w:p>
          <w:p w:rsidR="00B20C38" w:rsidRPr="001763B5" w:rsidRDefault="00B20C38" w:rsidP="004079A0">
            <w:pPr>
              <w:jc w:val="both"/>
              <w:rPr>
                <w:lang w:val="en-GB"/>
              </w:rPr>
            </w:pP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Pr>
          <w:lang w:val="en-GB"/>
        </w:rPr>
        <w:t xml:space="preserve">Will the overall change </w:t>
      </w:r>
      <w:r w:rsidRPr="001763B5">
        <w:rPr>
          <w:lang w:val="en-GB"/>
        </w:rPr>
        <w:t>lead to increase or decrease of transport-related CO2 emission in your FUA?</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Overall change will lead to decrease of tr</w:t>
            </w:r>
            <w:r>
              <w:rPr>
                <w:lang w:val="en-GB"/>
              </w:rPr>
              <w:t xml:space="preserve">ansport-related </w:t>
            </w:r>
            <w:proofErr w:type="gramStart"/>
            <w:r>
              <w:rPr>
                <w:lang w:val="en-GB"/>
              </w:rPr>
              <w:t xml:space="preserve">CO2 </w:t>
            </w:r>
            <w:r w:rsidRPr="001763B5">
              <w:rPr>
                <w:lang w:val="en-GB"/>
              </w:rPr>
              <w:t xml:space="preserve"> emission</w:t>
            </w:r>
            <w:proofErr w:type="gramEnd"/>
            <w:r w:rsidRPr="001763B5">
              <w:rPr>
                <w:lang w:val="en-GB"/>
              </w:rPr>
              <w:t xml:space="preserve"> in FUA Zadar. </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pStyle w:val="Cmsor1"/>
        <w:jc w:val="both"/>
        <w:rPr>
          <w:lang w:val="en-GB"/>
        </w:rPr>
      </w:pPr>
      <w:r w:rsidRPr="001763B5">
        <w:rPr>
          <w:lang w:val="en-GB"/>
        </w:rPr>
        <w:t>1. Information about this test scenario</w:t>
      </w:r>
    </w:p>
    <w:tbl>
      <w:tblPr>
        <w:tblStyle w:val="Rcsostblzat"/>
        <w:tblW w:w="0" w:type="auto"/>
        <w:tblLook w:val="04A0" w:firstRow="1" w:lastRow="0" w:firstColumn="1" w:lastColumn="0" w:noHBand="0" w:noVBand="1"/>
      </w:tblPr>
      <w:tblGrid>
        <w:gridCol w:w="1980"/>
        <w:gridCol w:w="7416"/>
      </w:tblGrid>
      <w:tr w:rsidR="00B20C38" w:rsidRPr="001763B5" w:rsidTr="004079A0">
        <w:tc>
          <w:tcPr>
            <w:tcW w:w="1980" w:type="dxa"/>
          </w:tcPr>
          <w:p w:rsidR="00B20C38" w:rsidRPr="001763B5" w:rsidRDefault="00B20C38" w:rsidP="004079A0">
            <w:pPr>
              <w:jc w:val="both"/>
              <w:rPr>
                <w:lang w:val="en-GB"/>
              </w:rPr>
            </w:pPr>
            <w:r w:rsidRPr="001763B5">
              <w:rPr>
                <w:lang w:val="en-GB"/>
              </w:rPr>
              <w:t>FUA Name</w:t>
            </w:r>
          </w:p>
        </w:tc>
        <w:tc>
          <w:tcPr>
            <w:tcW w:w="7416" w:type="dxa"/>
          </w:tcPr>
          <w:p w:rsidR="00B20C38" w:rsidRPr="001763B5" w:rsidRDefault="00B20C38" w:rsidP="004079A0">
            <w:pPr>
              <w:jc w:val="both"/>
              <w:rPr>
                <w:lang w:val="en-GB"/>
              </w:rPr>
            </w:pPr>
            <w:r w:rsidRPr="001763B5">
              <w:rPr>
                <w:lang w:val="en-GB"/>
              </w:rPr>
              <w:t>Zadar</w:t>
            </w:r>
          </w:p>
        </w:tc>
      </w:tr>
      <w:tr w:rsidR="00B20C38" w:rsidRPr="001763B5" w:rsidTr="004079A0">
        <w:tc>
          <w:tcPr>
            <w:tcW w:w="1980" w:type="dxa"/>
          </w:tcPr>
          <w:p w:rsidR="00B20C38" w:rsidRPr="001763B5" w:rsidRDefault="00B20C38" w:rsidP="004079A0">
            <w:pPr>
              <w:jc w:val="both"/>
              <w:rPr>
                <w:lang w:val="en-GB"/>
              </w:rPr>
            </w:pPr>
            <w:r w:rsidRPr="001763B5">
              <w:rPr>
                <w:lang w:val="en-GB"/>
              </w:rPr>
              <w:t>Scenario Name</w:t>
            </w:r>
          </w:p>
        </w:tc>
        <w:tc>
          <w:tcPr>
            <w:tcW w:w="7416" w:type="dxa"/>
          </w:tcPr>
          <w:p w:rsidR="00B20C38" w:rsidRPr="00B20C38" w:rsidRDefault="00B20C38" w:rsidP="00B20C38">
            <w:pPr>
              <w:tabs>
                <w:tab w:val="left" w:pos="6195"/>
              </w:tabs>
              <w:jc w:val="both"/>
              <w:rPr>
                <w:b/>
                <w:sz w:val="24"/>
                <w:szCs w:val="24"/>
                <w:lang w:val="en-GB"/>
              </w:rPr>
            </w:pPr>
            <w:bookmarkStart w:id="19" w:name="_Hlk503006949"/>
            <w:r w:rsidRPr="00B20C38">
              <w:rPr>
                <w:b/>
                <w:sz w:val="24"/>
                <w:szCs w:val="24"/>
                <w:lang w:val="en-US"/>
              </w:rPr>
              <w:t>EU Policy to prohibit private car ownership by 20</w:t>
            </w:r>
            <w:r>
              <w:rPr>
                <w:b/>
                <w:sz w:val="24"/>
                <w:szCs w:val="24"/>
                <w:lang w:val="en-US"/>
              </w:rPr>
              <w:t xml:space="preserve">45 </w:t>
            </w:r>
            <w:bookmarkEnd w:id="19"/>
            <w:r>
              <w:rPr>
                <w:b/>
                <w:sz w:val="24"/>
                <w:szCs w:val="24"/>
                <w:lang w:val="en-US"/>
              </w:rPr>
              <w:t>(GROUP 2)</w:t>
            </w:r>
          </w:p>
        </w:tc>
      </w:tr>
      <w:tr w:rsidR="00B20C38" w:rsidRPr="001763B5" w:rsidTr="004079A0">
        <w:tc>
          <w:tcPr>
            <w:tcW w:w="1980" w:type="dxa"/>
          </w:tcPr>
          <w:p w:rsidR="00B20C38" w:rsidRPr="001763B5" w:rsidRDefault="00B20C38" w:rsidP="004079A0">
            <w:pPr>
              <w:jc w:val="both"/>
              <w:rPr>
                <w:lang w:val="en-GB"/>
              </w:rPr>
            </w:pPr>
            <w:r w:rsidRPr="001763B5">
              <w:rPr>
                <w:lang w:val="en-GB"/>
              </w:rPr>
              <w:t>Date</w:t>
            </w:r>
          </w:p>
        </w:tc>
        <w:tc>
          <w:tcPr>
            <w:tcW w:w="7416" w:type="dxa"/>
          </w:tcPr>
          <w:p w:rsidR="00B20C38" w:rsidRPr="001763B5" w:rsidRDefault="00B20C38" w:rsidP="004079A0">
            <w:pPr>
              <w:jc w:val="both"/>
              <w:rPr>
                <w:lang w:val="en-GB"/>
              </w:rPr>
            </w:pPr>
            <w:r w:rsidRPr="001763B5">
              <w:rPr>
                <w:lang w:val="en-GB"/>
              </w:rPr>
              <w:t>17. 11. 2017.</w:t>
            </w:r>
          </w:p>
        </w:tc>
      </w:tr>
      <w:tr w:rsidR="00B20C38" w:rsidRPr="001763B5" w:rsidTr="004079A0">
        <w:tc>
          <w:tcPr>
            <w:tcW w:w="1980" w:type="dxa"/>
          </w:tcPr>
          <w:p w:rsidR="00B20C38" w:rsidRPr="001763B5" w:rsidRDefault="00B20C38" w:rsidP="004079A0">
            <w:pPr>
              <w:jc w:val="both"/>
              <w:rPr>
                <w:lang w:val="en-GB"/>
              </w:rPr>
            </w:pPr>
            <w:r w:rsidRPr="001763B5">
              <w:rPr>
                <w:lang w:val="en-GB"/>
              </w:rPr>
              <w:t>Policy target year</w:t>
            </w:r>
          </w:p>
        </w:tc>
        <w:tc>
          <w:tcPr>
            <w:tcW w:w="7416" w:type="dxa"/>
          </w:tcPr>
          <w:p w:rsidR="00B20C38" w:rsidRPr="001763B5" w:rsidRDefault="00B20C38" w:rsidP="004079A0">
            <w:pPr>
              <w:jc w:val="both"/>
              <w:rPr>
                <w:lang w:val="en-GB"/>
              </w:rPr>
            </w:pPr>
            <w:r w:rsidRPr="001763B5">
              <w:rPr>
                <w:lang w:val="en-GB"/>
              </w:rPr>
              <w:t xml:space="preserve">2025 </w:t>
            </w:r>
          </w:p>
        </w:tc>
      </w:tr>
      <w:tr w:rsidR="00B20C38" w:rsidRPr="001763B5" w:rsidTr="004079A0">
        <w:tc>
          <w:tcPr>
            <w:tcW w:w="1980" w:type="dxa"/>
          </w:tcPr>
          <w:p w:rsidR="00B20C38" w:rsidRPr="001763B5" w:rsidRDefault="00B20C38" w:rsidP="004079A0">
            <w:pPr>
              <w:jc w:val="both"/>
              <w:rPr>
                <w:lang w:val="en-GB"/>
              </w:rPr>
            </w:pPr>
            <w:r w:rsidRPr="001763B5">
              <w:rPr>
                <w:lang w:val="en-GB"/>
              </w:rPr>
              <w:t>Contributor</w:t>
            </w:r>
          </w:p>
        </w:tc>
        <w:tc>
          <w:tcPr>
            <w:tcW w:w="7416" w:type="dxa"/>
          </w:tcPr>
          <w:p w:rsidR="00B20C38" w:rsidRPr="001763B5" w:rsidRDefault="00B20C38" w:rsidP="004079A0">
            <w:pPr>
              <w:jc w:val="both"/>
              <w:rPr>
                <w:lang w:val="en-GB"/>
              </w:rPr>
            </w:pPr>
            <w:r w:rsidRPr="001763B5">
              <w:rPr>
                <w:lang w:val="en-GB"/>
              </w:rPr>
              <w:t xml:space="preserve">Josip </w:t>
            </w:r>
            <w:proofErr w:type="spellStart"/>
            <w:r w:rsidRPr="001763B5">
              <w:rPr>
                <w:lang w:val="en-GB"/>
              </w:rPr>
              <w:t>Faričić</w:t>
            </w:r>
            <w:proofErr w:type="spellEnd"/>
            <w:r w:rsidRPr="001763B5">
              <w:rPr>
                <w:lang w:val="en-GB"/>
              </w:rPr>
              <w:t>, full professor</w:t>
            </w:r>
          </w:p>
          <w:p w:rsidR="00B20C38" w:rsidRPr="001763B5" w:rsidRDefault="00B20C38" w:rsidP="004079A0">
            <w:pPr>
              <w:jc w:val="both"/>
              <w:rPr>
                <w:lang w:val="en-GB"/>
              </w:rPr>
            </w:pPr>
            <w:r w:rsidRPr="001763B5">
              <w:rPr>
                <w:lang w:val="en-GB"/>
              </w:rPr>
              <w:t xml:space="preserve">Ana </w:t>
            </w:r>
            <w:proofErr w:type="spellStart"/>
            <w:r w:rsidRPr="001763B5">
              <w:rPr>
                <w:lang w:val="en-GB"/>
              </w:rPr>
              <w:t>Pejdo</w:t>
            </w:r>
            <w:proofErr w:type="spellEnd"/>
            <w:r w:rsidRPr="001763B5">
              <w:rPr>
                <w:lang w:val="en-GB"/>
              </w:rPr>
              <w:t>, assistant professor</w:t>
            </w:r>
          </w:p>
          <w:p w:rsidR="00B20C38" w:rsidRDefault="00B20C38" w:rsidP="004079A0">
            <w:pPr>
              <w:jc w:val="both"/>
              <w:rPr>
                <w:lang w:val="en-GB"/>
              </w:rPr>
            </w:pPr>
            <w:r w:rsidRPr="001763B5">
              <w:rPr>
                <w:lang w:val="en-GB"/>
              </w:rPr>
              <w:t xml:space="preserve">Tome </w:t>
            </w:r>
            <w:proofErr w:type="spellStart"/>
            <w:r w:rsidRPr="001763B5">
              <w:rPr>
                <w:lang w:val="en-GB"/>
              </w:rPr>
              <w:t>Marelić</w:t>
            </w:r>
            <w:proofErr w:type="spellEnd"/>
            <w:r w:rsidRPr="001763B5">
              <w:rPr>
                <w:lang w:val="en-GB"/>
              </w:rPr>
              <w:t>, research assistant</w:t>
            </w:r>
          </w:p>
          <w:p w:rsidR="00B20C38" w:rsidRPr="001763B5" w:rsidRDefault="00B20C38" w:rsidP="004079A0">
            <w:pPr>
              <w:jc w:val="both"/>
              <w:rPr>
                <w:lang w:val="en-GB"/>
              </w:rPr>
            </w:pPr>
            <w:proofErr w:type="spellStart"/>
            <w:r>
              <w:rPr>
                <w:lang w:val="en-GB"/>
              </w:rPr>
              <w:t>Anica</w:t>
            </w:r>
            <w:proofErr w:type="spellEnd"/>
            <w:r>
              <w:rPr>
                <w:lang w:val="en-GB"/>
              </w:rPr>
              <w:t xml:space="preserve"> </w:t>
            </w:r>
            <w:proofErr w:type="spellStart"/>
            <w:r>
              <w:rPr>
                <w:lang w:val="en-GB"/>
              </w:rPr>
              <w:t>Čuka</w:t>
            </w:r>
            <w:proofErr w:type="spellEnd"/>
            <w:r>
              <w:rPr>
                <w:lang w:val="en-GB"/>
              </w:rPr>
              <w:t>, assistant professor</w:t>
            </w:r>
          </w:p>
        </w:tc>
      </w:tr>
    </w:tbl>
    <w:p w:rsidR="00B20C38" w:rsidRPr="001763B5" w:rsidRDefault="00B20C38" w:rsidP="00B20C38">
      <w:pPr>
        <w:pStyle w:val="Cmsor1"/>
        <w:jc w:val="both"/>
        <w:rPr>
          <w:lang w:val="en-GB"/>
        </w:rPr>
      </w:pPr>
      <w:r w:rsidRPr="001763B5">
        <w:rPr>
          <w:lang w:val="en-GB"/>
        </w:rPr>
        <w:t>2. Describe this scenario</w:t>
      </w:r>
    </w:p>
    <w:p w:rsidR="00B20C38" w:rsidRPr="001763B5" w:rsidRDefault="00B20C38" w:rsidP="00B20C38">
      <w:pPr>
        <w:pStyle w:val="Listaszerbekezds"/>
        <w:numPr>
          <w:ilvl w:val="0"/>
          <w:numId w:val="1"/>
        </w:numPr>
        <w:jc w:val="both"/>
        <w:rPr>
          <w:lang w:val="en-GB"/>
        </w:rPr>
      </w:pPr>
      <w:r w:rsidRPr="001763B5">
        <w:rPr>
          <w:lang w:val="en-GB"/>
        </w:rPr>
        <w:t>Max. in 10 lines</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DC7966">
              <w:rPr>
                <w:lang w:val="en-US"/>
              </w:rPr>
              <w:t>EU decides to prohib</w:t>
            </w:r>
            <w:r>
              <w:rPr>
                <w:lang w:val="en-US"/>
              </w:rPr>
              <w:t>it private car ownership until 2025</w:t>
            </w:r>
            <w:r w:rsidRPr="00DC7966">
              <w:rPr>
                <w:lang w:val="en-US"/>
              </w:rPr>
              <w:t>,</w:t>
            </w:r>
            <w:r>
              <w:rPr>
                <w:lang w:val="en-US"/>
              </w:rPr>
              <w:t xml:space="preserve"> with 20-year transition period. According to proposed documentation any type of cars will be allowed to be owned by companies, but not allowed by private person. Car-sharing scheme will be introduced in all parts of Zadar FUA. </w:t>
            </w:r>
            <w:bookmarkStart w:id="20" w:name="_Hlk503007048"/>
            <w:r>
              <w:rPr>
                <w:lang w:val="en-US"/>
              </w:rPr>
              <w:t>Number of cars on the roads will decrease significantly. Population will cycle, walk and use public transport more. Children will go to school only by school buses.</w:t>
            </w:r>
            <w:r>
              <w:rPr>
                <w:lang w:val="en-GB"/>
              </w:rPr>
              <w:t>, cycle or on foot.</w:t>
            </w:r>
            <w:bookmarkEnd w:id="20"/>
          </w:p>
        </w:tc>
      </w:tr>
    </w:tbl>
    <w:p w:rsidR="00B20C38" w:rsidRPr="001763B5" w:rsidRDefault="00B20C38" w:rsidP="00B20C38">
      <w:pPr>
        <w:jc w:val="both"/>
        <w:rPr>
          <w:lang w:val="en-GB"/>
        </w:rPr>
      </w:pPr>
    </w:p>
    <w:p w:rsidR="00B20C38" w:rsidRPr="001763B5" w:rsidRDefault="00B20C38" w:rsidP="00B20C38">
      <w:pPr>
        <w:pStyle w:val="Cmsor1"/>
        <w:jc w:val="both"/>
        <w:rPr>
          <w:lang w:val="en-GB"/>
        </w:rPr>
      </w:pPr>
      <w:r w:rsidRPr="001763B5">
        <w:rPr>
          <w:lang w:val="en-GB"/>
        </w:rPr>
        <w:t>3. Assessment of consequences</w:t>
      </w:r>
    </w:p>
    <w:p w:rsidR="00B20C38" w:rsidRPr="001763B5" w:rsidRDefault="00B20C38" w:rsidP="00B20C38">
      <w:pPr>
        <w:jc w:val="both"/>
        <w:rPr>
          <w:lang w:val="en-GB"/>
        </w:rPr>
      </w:pPr>
      <w:r w:rsidRPr="001763B5">
        <w:rPr>
          <w:lang w:val="en-GB"/>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 xml:space="preserve">FUA Zadar population slightly increased during the last ten years. In relation to previous decades this increase is rather small. However, along with Zagreb and other settlements in its vicinity, Zadar is one of the rare settlements in Croatia which has recorded increase in population number according to the last official Population Census. The number of woman is higher in the old age group while in the mature age group the number of woman and man is almost equal.  </w:t>
            </w:r>
          </w:p>
          <w:tbl>
            <w:tblPr>
              <w:tblStyle w:val="Rcsostblzat"/>
              <w:tblW w:w="6871" w:type="dxa"/>
              <w:tblLook w:val="04A0" w:firstRow="1" w:lastRow="0" w:firstColumn="1" w:lastColumn="0" w:noHBand="0" w:noVBand="1"/>
            </w:tblPr>
            <w:tblGrid>
              <w:gridCol w:w="1374"/>
              <w:gridCol w:w="1374"/>
              <w:gridCol w:w="1374"/>
              <w:gridCol w:w="1374"/>
              <w:gridCol w:w="1375"/>
            </w:tblGrid>
            <w:tr w:rsidR="00B20C38" w:rsidRPr="001763B5" w:rsidTr="004079A0">
              <w:trPr>
                <w:trHeight w:val="679"/>
              </w:trPr>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p>
              </w:tc>
              <w:tc>
                <w:tcPr>
                  <w:tcW w:w="5497" w:type="dxa"/>
                  <w:gridSpan w:val="4"/>
                  <w:vAlign w:val="center"/>
                </w:tcPr>
                <w:p w:rsidR="00B20C38" w:rsidRPr="001763B5" w:rsidRDefault="00B20C38" w:rsidP="004079A0">
                  <w:pPr>
                    <w:jc w:val="center"/>
                    <w:rPr>
                      <w:bCs/>
                      <w:color w:val="000000"/>
                      <w:sz w:val="20"/>
                      <w:szCs w:val="20"/>
                      <w:lang w:val="en-GB"/>
                    </w:rPr>
                  </w:pPr>
                  <w:r>
                    <w:rPr>
                      <w:bCs/>
                      <w:color w:val="000000"/>
                      <w:sz w:val="20"/>
                      <w:szCs w:val="20"/>
                      <w:lang w:val="en-GB"/>
                    </w:rPr>
                    <w:t>Population growth</w:t>
                  </w:r>
                </w:p>
              </w:tc>
            </w:tr>
            <w:tr w:rsidR="00B20C38" w:rsidRPr="001763B5" w:rsidTr="004079A0">
              <w:trPr>
                <w:trHeight w:val="679"/>
              </w:trPr>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r>
                    <w:rPr>
                      <w:rFonts w:eastAsia="Times New Roman" w:cs="Times New Roman"/>
                      <w:iCs/>
                      <w:color w:val="000000"/>
                      <w:sz w:val="20"/>
                      <w:szCs w:val="20"/>
                      <w:lang w:val="en-GB" w:eastAsia="en-US"/>
                    </w:rPr>
                    <w:t xml:space="preserve">Periods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Zadar settlement</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City of Zadar</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Other municipalities of FUA in total</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5" w:type="dxa"/>
                  <w:vAlign w:val="center"/>
                </w:tcPr>
                <w:p w:rsidR="00B20C38" w:rsidRDefault="00B20C38" w:rsidP="004079A0">
                  <w:pPr>
                    <w:jc w:val="both"/>
                    <w:rPr>
                      <w:bCs/>
                      <w:color w:val="000000"/>
                      <w:sz w:val="20"/>
                      <w:szCs w:val="20"/>
                      <w:lang w:val="en-GB"/>
                    </w:rPr>
                  </w:pPr>
                  <w:r w:rsidRPr="001763B5">
                    <w:rPr>
                      <w:bCs/>
                      <w:color w:val="000000"/>
                      <w:sz w:val="20"/>
                      <w:szCs w:val="20"/>
                      <w:lang w:val="en-GB"/>
                    </w:rPr>
                    <w:t>FUA total</w:t>
                  </w:r>
                </w:p>
                <w:p w:rsidR="00B20C38" w:rsidRPr="001763B5" w:rsidRDefault="00B20C38" w:rsidP="004079A0">
                  <w:pPr>
                    <w:jc w:val="both"/>
                    <w:rPr>
                      <w:bCs/>
                      <w:color w:val="000000"/>
                      <w:sz w:val="20"/>
                      <w:szCs w:val="20"/>
                      <w:lang w:val="en-GB"/>
                    </w:rPr>
                  </w:pPr>
                  <w:r>
                    <w:rPr>
                      <w:bCs/>
                      <w:color w:val="000000"/>
                      <w:sz w:val="20"/>
                      <w:szCs w:val="20"/>
                      <w:lang w:val="en-GB"/>
                    </w:rPr>
                    <w:t>(in %)</w:t>
                  </w:r>
                </w:p>
              </w:tc>
            </w:tr>
            <w:tr w:rsidR="00B20C38" w:rsidRPr="001763B5" w:rsidTr="004079A0">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 xml:space="preserve"> 1970-1990</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68,4</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59,1</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0,2</w:t>
                  </w:r>
                </w:p>
              </w:tc>
              <w:tc>
                <w:tcPr>
                  <w:tcW w:w="1375"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30,6</w:t>
                  </w:r>
                </w:p>
              </w:tc>
            </w:tr>
            <w:tr w:rsidR="00B20C38" w:rsidRPr="001763B5" w:rsidTr="004079A0">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 xml:space="preserve"> 1990-2010</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-6,4</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-6,6</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-19,7</w:t>
                  </w:r>
                </w:p>
              </w:tc>
              <w:tc>
                <w:tcPr>
                  <w:tcW w:w="1375"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-11,5</w:t>
                  </w:r>
                </w:p>
              </w:tc>
            </w:tr>
            <w:tr w:rsidR="00B20C38" w:rsidRPr="001763B5" w:rsidTr="004079A0">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2010-2030</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5,4</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6,2</w:t>
                  </w:r>
                </w:p>
              </w:tc>
              <w:tc>
                <w:tcPr>
                  <w:tcW w:w="1374"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1,6</w:t>
                  </w:r>
                </w:p>
              </w:tc>
              <w:tc>
                <w:tcPr>
                  <w:tcW w:w="1375" w:type="dxa"/>
                  <w:vAlign w:val="bottom"/>
                </w:tcPr>
                <w:p w:rsidR="00B20C38" w:rsidRPr="001763B5" w:rsidRDefault="00B20C38" w:rsidP="004079A0">
                  <w:pPr>
                    <w:jc w:val="both"/>
                    <w:rPr>
                      <w:rFonts w:eastAsia="Times New Roman" w:cs="Times New Roman"/>
                      <w:color w:val="000000"/>
                      <w:sz w:val="20"/>
                      <w:szCs w:val="20"/>
                      <w:lang w:val="en-GB" w:eastAsia="en-US"/>
                    </w:rPr>
                  </w:pPr>
                  <w:r w:rsidRPr="001763B5">
                    <w:rPr>
                      <w:rFonts w:eastAsia="Times New Roman" w:cs="Times New Roman"/>
                      <w:color w:val="000000"/>
                      <w:sz w:val="20"/>
                      <w:szCs w:val="20"/>
                      <w:lang w:val="en-GB" w:eastAsia="en-US"/>
                    </w:rPr>
                    <w:t>4,7</w:t>
                  </w:r>
                </w:p>
              </w:tc>
            </w:tr>
          </w:tbl>
          <w:p w:rsidR="00B20C38" w:rsidRPr="001763B5" w:rsidRDefault="00B20C38" w:rsidP="004079A0">
            <w:pPr>
              <w:jc w:val="both"/>
              <w:rPr>
                <w:lang w:val="en-GB"/>
              </w:rPr>
            </w:pPr>
          </w:p>
          <w:p w:rsidR="00B20C38" w:rsidRDefault="00B20C38" w:rsidP="004079A0">
            <w:pPr>
              <w:jc w:val="both"/>
              <w:rPr>
                <w:lang w:val="en-GB"/>
              </w:rPr>
            </w:pPr>
            <w:r w:rsidRPr="001763B5">
              <w:rPr>
                <w:lang w:val="en-GB"/>
              </w:rPr>
              <w:t>Until 2025 population number will slightly increase. Increase will be higher in City of Zadar than in other parts of FUA. There will be an increase of population in the over-60s age group in the entire FUA.</w:t>
            </w:r>
            <w:r>
              <w:rPr>
                <w:lang w:val="en-GB"/>
              </w:rPr>
              <w:t xml:space="preserve"> Turning of certain parts of the city into pedestrian zones will improve health condition for elderly population who will move more. On the other </w:t>
            </w:r>
            <w:proofErr w:type="gramStart"/>
            <w:r>
              <w:rPr>
                <w:lang w:val="en-GB"/>
              </w:rPr>
              <w:t>hand</w:t>
            </w:r>
            <w:proofErr w:type="gramEnd"/>
            <w:r>
              <w:rPr>
                <w:lang w:val="en-GB"/>
              </w:rPr>
              <w:t xml:space="preserve"> public transport needs to be more efficient so elderly population can have access to all public services even if they cannot drive by themselves any more.</w:t>
            </w:r>
          </w:p>
          <w:tbl>
            <w:tblPr>
              <w:tblStyle w:val="Rcsostblzat"/>
              <w:tblW w:w="6871" w:type="dxa"/>
              <w:tblLook w:val="04A0" w:firstRow="1" w:lastRow="0" w:firstColumn="1" w:lastColumn="0" w:noHBand="0" w:noVBand="1"/>
            </w:tblPr>
            <w:tblGrid>
              <w:gridCol w:w="1374"/>
              <w:gridCol w:w="1374"/>
              <w:gridCol w:w="1374"/>
              <w:gridCol w:w="1374"/>
              <w:gridCol w:w="1375"/>
            </w:tblGrid>
            <w:tr w:rsidR="00B20C38" w:rsidRPr="001763B5" w:rsidTr="004079A0">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p>
              </w:tc>
              <w:tc>
                <w:tcPr>
                  <w:tcW w:w="5497" w:type="dxa"/>
                  <w:gridSpan w:val="4"/>
                  <w:vAlign w:val="center"/>
                </w:tcPr>
                <w:p w:rsidR="00B20C38" w:rsidRPr="001763B5" w:rsidRDefault="00B20C38" w:rsidP="004079A0">
                  <w:pPr>
                    <w:jc w:val="center"/>
                    <w:rPr>
                      <w:bCs/>
                      <w:color w:val="000000"/>
                      <w:sz w:val="20"/>
                      <w:szCs w:val="20"/>
                      <w:lang w:val="en-GB"/>
                    </w:rPr>
                  </w:pPr>
                  <w:r>
                    <w:rPr>
                      <w:bCs/>
                      <w:color w:val="000000"/>
                      <w:sz w:val="20"/>
                      <w:szCs w:val="20"/>
                      <w:lang w:val="en-GB"/>
                    </w:rPr>
                    <w:t>Age structure</w:t>
                  </w:r>
                </w:p>
              </w:tc>
            </w:tr>
            <w:tr w:rsidR="00B20C38" w:rsidRPr="001763B5" w:rsidTr="004079A0">
              <w:tc>
                <w:tcPr>
                  <w:tcW w:w="1374" w:type="dxa"/>
                  <w:vAlign w:val="bottom"/>
                </w:tcPr>
                <w:p w:rsidR="00B20C38" w:rsidRPr="001763B5" w:rsidRDefault="00B20C38" w:rsidP="004079A0">
                  <w:pPr>
                    <w:jc w:val="both"/>
                    <w:rPr>
                      <w:rFonts w:eastAsia="Times New Roman" w:cs="Times New Roman"/>
                      <w:iCs/>
                      <w:color w:val="000000"/>
                      <w:sz w:val="20"/>
                      <w:szCs w:val="20"/>
                      <w:lang w:val="en-GB" w:eastAsia="en-US"/>
                    </w:rPr>
                  </w:pPr>
                  <w:r w:rsidRPr="001763B5">
                    <w:rPr>
                      <w:rFonts w:eastAsia="Times New Roman" w:cs="Times New Roman"/>
                      <w:iCs/>
                      <w:color w:val="000000"/>
                      <w:sz w:val="20"/>
                      <w:szCs w:val="20"/>
                      <w:lang w:val="en-GB" w:eastAsia="en-US"/>
                    </w:rPr>
                    <w:t>Age group</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Zadar settlement</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City of Zadar</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4" w:type="dxa"/>
                  <w:vAlign w:val="center"/>
                </w:tcPr>
                <w:p w:rsidR="00B20C38" w:rsidRDefault="00B20C38" w:rsidP="004079A0">
                  <w:pPr>
                    <w:jc w:val="both"/>
                    <w:rPr>
                      <w:bCs/>
                      <w:color w:val="000000"/>
                      <w:sz w:val="20"/>
                      <w:szCs w:val="20"/>
                      <w:lang w:val="en-GB"/>
                    </w:rPr>
                  </w:pPr>
                  <w:r w:rsidRPr="001763B5">
                    <w:rPr>
                      <w:bCs/>
                      <w:color w:val="000000"/>
                      <w:sz w:val="20"/>
                      <w:szCs w:val="20"/>
                      <w:lang w:val="en-GB"/>
                    </w:rPr>
                    <w:t>Other municipalities of FUA in total</w:t>
                  </w:r>
                </w:p>
                <w:p w:rsidR="00B20C38" w:rsidRPr="001763B5" w:rsidRDefault="00B20C38" w:rsidP="004079A0">
                  <w:pPr>
                    <w:jc w:val="both"/>
                    <w:rPr>
                      <w:bCs/>
                      <w:color w:val="000000"/>
                      <w:sz w:val="20"/>
                      <w:szCs w:val="20"/>
                      <w:lang w:val="en-GB"/>
                    </w:rPr>
                  </w:pPr>
                  <w:r>
                    <w:rPr>
                      <w:bCs/>
                      <w:color w:val="000000"/>
                      <w:sz w:val="20"/>
                      <w:szCs w:val="20"/>
                      <w:lang w:val="en-GB"/>
                    </w:rPr>
                    <w:t>(in %)</w:t>
                  </w:r>
                </w:p>
              </w:tc>
              <w:tc>
                <w:tcPr>
                  <w:tcW w:w="1375" w:type="dxa"/>
                  <w:vAlign w:val="center"/>
                </w:tcPr>
                <w:p w:rsidR="00B20C38" w:rsidRDefault="00B20C38" w:rsidP="004079A0">
                  <w:pPr>
                    <w:jc w:val="both"/>
                    <w:rPr>
                      <w:bCs/>
                      <w:color w:val="000000"/>
                      <w:sz w:val="20"/>
                      <w:szCs w:val="20"/>
                      <w:lang w:val="en-GB"/>
                    </w:rPr>
                  </w:pPr>
                  <w:r w:rsidRPr="001763B5">
                    <w:rPr>
                      <w:bCs/>
                      <w:color w:val="000000"/>
                      <w:sz w:val="20"/>
                      <w:szCs w:val="20"/>
                      <w:lang w:val="en-GB"/>
                    </w:rPr>
                    <w:t>FUA total</w:t>
                  </w:r>
                </w:p>
                <w:p w:rsidR="00B20C38" w:rsidRPr="001763B5" w:rsidRDefault="00B20C38" w:rsidP="004079A0">
                  <w:pPr>
                    <w:jc w:val="both"/>
                    <w:rPr>
                      <w:bCs/>
                      <w:color w:val="000000"/>
                      <w:sz w:val="20"/>
                      <w:szCs w:val="20"/>
                      <w:lang w:val="en-GB"/>
                    </w:rPr>
                  </w:pPr>
                  <w:r>
                    <w:rPr>
                      <w:bCs/>
                      <w:color w:val="000000"/>
                      <w:sz w:val="20"/>
                      <w:szCs w:val="20"/>
                      <w:lang w:val="en-GB"/>
                    </w:rPr>
                    <w:t>(in %)</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 xml:space="preserve">0-14 </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9,0</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9,3</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4,5</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13,9</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15-39</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21,2</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21,8</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10,6</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32,5</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40-64</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24,8</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25,5</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11,3</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36,9</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65-84</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11,7</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12,3</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5,6</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17,9</w:t>
                  </w:r>
                </w:p>
              </w:tc>
            </w:tr>
            <w:tr w:rsidR="00B20C38" w:rsidRPr="001763B5" w:rsidTr="004079A0">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 xml:space="preserve">85+ </w:t>
                  </w:r>
                </w:p>
              </w:tc>
              <w:tc>
                <w:tcPr>
                  <w:tcW w:w="1374" w:type="dxa"/>
                  <w:vAlign w:val="center"/>
                </w:tcPr>
                <w:p w:rsidR="00B20C38" w:rsidRPr="001763B5" w:rsidRDefault="00B20C38" w:rsidP="004079A0">
                  <w:pPr>
                    <w:jc w:val="both"/>
                    <w:rPr>
                      <w:color w:val="000000"/>
                      <w:sz w:val="20"/>
                      <w:szCs w:val="20"/>
                      <w:lang w:val="en-GB"/>
                    </w:rPr>
                  </w:pPr>
                  <w:r w:rsidRPr="001763B5">
                    <w:rPr>
                      <w:color w:val="000000"/>
                      <w:sz w:val="20"/>
                      <w:szCs w:val="20"/>
                      <w:lang w:val="en-GB"/>
                    </w:rPr>
                    <w:t>2,3</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2,6</w:t>
                  </w:r>
                </w:p>
              </w:tc>
              <w:tc>
                <w:tcPr>
                  <w:tcW w:w="1374"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1,5</w:t>
                  </w:r>
                </w:p>
              </w:tc>
              <w:tc>
                <w:tcPr>
                  <w:tcW w:w="1375" w:type="dxa"/>
                  <w:vAlign w:val="bottom"/>
                </w:tcPr>
                <w:p w:rsidR="00B20C38" w:rsidRPr="001763B5" w:rsidRDefault="00B20C38" w:rsidP="004079A0">
                  <w:pPr>
                    <w:jc w:val="both"/>
                    <w:rPr>
                      <w:color w:val="000000"/>
                      <w:sz w:val="20"/>
                      <w:szCs w:val="20"/>
                      <w:lang w:val="en-GB"/>
                    </w:rPr>
                  </w:pPr>
                  <w:r w:rsidRPr="001763B5">
                    <w:rPr>
                      <w:color w:val="000000"/>
                      <w:sz w:val="20"/>
                      <w:szCs w:val="20"/>
                      <w:lang w:val="en-GB"/>
                    </w:rPr>
                    <w:t>4,1</w:t>
                  </w:r>
                </w:p>
              </w:tc>
            </w:tr>
          </w:tbl>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21" w:name="_Hlk503007216"/>
            <w:r w:rsidRPr="001763B5">
              <w:rPr>
                <w:lang w:val="en-GB"/>
              </w:rPr>
              <w:t>Until 20</w:t>
            </w:r>
            <w:r>
              <w:rPr>
                <w:lang w:val="en-GB"/>
              </w:rPr>
              <w:t>2</w:t>
            </w:r>
            <w:r w:rsidRPr="001763B5">
              <w:rPr>
                <w:lang w:val="en-GB"/>
              </w:rPr>
              <w:t xml:space="preserve">5 all transport modes will </w:t>
            </w:r>
            <w:r>
              <w:rPr>
                <w:lang w:val="en-GB"/>
              </w:rPr>
              <w:t xml:space="preserve">probably </w:t>
            </w:r>
            <w:r w:rsidRPr="001763B5">
              <w:rPr>
                <w:lang w:val="en-GB"/>
              </w:rPr>
              <w:t xml:space="preserve">remain the same as today with more emphasis on the usage of clean vehicles and fuels. </w:t>
            </w:r>
            <w:bookmarkEnd w:id="21"/>
            <w:r w:rsidRPr="001763B5">
              <w:rPr>
                <w:lang w:val="en-GB"/>
              </w:rPr>
              <w:t>FUA Zadar in accordance with EU and National legislation will support the use of electric cars.</w:t>
            </w:r>
            <w:r>
              <w:rPr>
                <w:lang w:val="en-GB"/>
              </w:rPr>
              <w:t xml:space="preserve"> </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22" w:name="_Hlk503007573"/>
            <w:r>
              <w:rPr>
                <w:lang w:val="en-GB"/>
              </w:rPr>
              <w:t>There will be fewer trips with cars while the share of cycling, walking and usage of public transport will increase</w:t>
            </w:r>
            <w:bookmarkEnd w:id="22"/>
            <w:r>
              <w:rPr>
                <w:lang w:val="en-GB"/>
              </w:rPr>
              <w:t xml:space="preserve">.  Since car-sharing is still not introduced in Zadar FUA implementation of such model would be very difficult. People think of their car as very valuable personal property and are used to moving from one place to another by car. Car gives them sense of freedom; they are independent and plan their activities according to their wishes. This allows them maximum freedom and even if they are aware of traffic jams in the summer or during rush hours </w:t>
            </w:r>
            <w:bookmarkStart w:id="23" w:name="_Hlk503007403"/>
            <w:r>
              <w:rPr>
                <w:lang w:val="en-GB"/>
              </w:rPr>
              <w:t xml:space="preserve">they usually choose car </w:t>
            </w:r>
            <w:r w:rsidR="003B1038">
              <w:rPr>
                <w:lang w:val="en-GB"/>
              </w:rPr>
              <w:t>instead of</w:t>
            </w:r>
            <w:r>
              <w:rPr>
                <w:lang w:val="en-GB"/>
              </w:rPr>
              <w:t xml:space="preserve"> cycling, walking or public transport. </w:t>
            </w:r>
            <w:bookmarkEnd w:id="23"/>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lastRenderedPageBreak/>
              <w:t xml:space="preserve"> </w:t>
            </w:r>
            <w:r>
              <w:rPr>
                <w:lang w:val="en-GB"/>
              </w:rPr>
              <w:t xml:space="preserve">This type of scenario is not in line with all upper-level transport policies; regional/national/EU. In all the mentioned official documents it is emphasized that cars should be used less but Zadar FUA citizens can own a car. If they </w:t>
            </w:r>
            <w:proofErr w:type="gramStart"/>
            <w:r>
              <w:rPr>
                <w:lang w:val="en-GB"/>
              </w:rPr>
              <w:t>want</w:t>
            </w:r>
            <w:proofErr w:type="gramEnd"/>
            <w:r>
              <w:rPr>
                <w:lang w:val="en-GB"/>
              </w:rPr>
              <w:t xml:space="preserve"> they can use car-sharing but it is their legal right to own a car if they choose so.</w:t>
            </w: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Is the overall situation improving the living quality of your FUA?</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 xml:space="preserve">If all the priorities listed </w:t>
            </w:r>
            <w:r>
              <w:rPr>
                <w:lang w:val="en-GB"/>
              </w:rPr>
              <w:t>in the description of this scenario</w:t>
            </w:r>
            <w:r w:rsidRPr="001763B5">
              <w:rPr>
                <w:lang w:val="en-GB"/>
              </w:rPr>
              <w:t xml:space="preserve"> will be implemented the quality of live will improve.</w:t>
            </w:r>
            <w:r>
              <w:rPr>
                <w:lang w:val="en-GB"/>
              </w:rPr>
              <w:t xml:space="preserve"> </w:t>
            </w:r>
            <w:r w:rsidRPr="001763B5">
              <w:rPr>
                <w:lang w:val="en-GB"/>
              </w:rPr>
              <w:t xml:space="preserve"> This all will lead to air quality improvements, noise reduction and positive health effects.</w:t>
            </w:r>
            <w:r>
              <w:rPr>
                <w:lang w:val="en-GB"/>
              </w:rPr>
              <w:t xml:space="preserve"> Fewer cars on the street mean fewer traffic accidents and safer streets for all. </w:t>
            </w: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 xml:space="preserve">What are the effects on </w:t>
      </w:r>
      <w:proofErr w:type="gramStart"/>
      <w:r w:rsidRPr="001763B5">
        <w:rPr>
          <w:lang w:val="en-GB"/>
        </w:rPr>
        <w:t>particular demographic</w:t>
      </w:r>
      <w:proofErr w:type="gramEnd"/>
      <w:r w:rsidRPr="001763B5">
        <w:rPr>
          <w:lang w:val="en-GB"/>
        </w:rPr>
        <w:t xml:space="preserve">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24" w:name="_Hlk503007609"/>
            <w:r>
              <w:rPr>
                <w:lang w:val="en-GB"/>
              </w:rPr>
              <w:t xml:space="preserve">This kind of scenario could be beneficiary for all. If there are fewer cars all other transport modes should be organised better. </w:t>
            </w:r>
            <w:bookmarkEnd w:id="24"/>
            <w:r>
              <w:rPr>
                <w:lang w:val="en-GB"/>
              </w:rPr>
              <w:t xml:space="preserve">Only employed people could use cars for themselves and their families but other such as school children, students, elderly people, mobility-impaired people who cannot drive themselves would need to use public transport, to walk or cycle. This is one of the main reasons why this type of scenario could not be implemented in Zadar FUA </w:t>
            </w:r>
            <w:proofErr w:type="gramStart"/>
            <w:r>
              <w:rPr>
                <w:lang w:val="en-GB"/>
              </w:rPr>
              <w:t>in the near future</w:t>
            </w:r>
            <w:proofErr w:type="gramEnd"/>
            <w:r>
              <w:rPr>
                <w:lang w:val="en-GB"/>
              </w:rPr>
              <w:t xml:space="preserve">. Zadar FUA has only one public transport operator, cycling network does not fulfil the needs of the local population, street spaces are not adjusted to mobility-impaired persons, etc. </w:t>
            </w:r>
            <w:proofErr w:type="gramStart"/>
            <w:r>
              <w:rPr>
                <w:lang w:val="en-GB"/>
              </w:rPr>
              <w:t>At the moment</w:t>
            </w:r>
            <w:proofErr w:type="gramEnd"/>
            <w:r>
              <w:rPr>
                <w:lang w:val="en-GB"/>
              </w:rPr>
              <w:t xml:space="preserve"> car is the only transport mean enabling population’s access to all facilities at all times. </w:t>
            </w:r>
          </w:p>
        </w:tc>
      </w:tr>
    </w:tbl>
    <w:p w:rsidR="00B20C38" w:rsidRPr="001763B5" w:rsidRDefault="00B20C38" w:rsidP="00B20C38">
      <w:pPr>
        <w:jc w:val="both"/>
        <w:rPr>
          <w:lang w:val="en-GB"/>
        </w:rPr>
      </w:pPr>
    </w:p>
    <w:p w:rsidR="00B20C38" w:rsidRPr="001763B5" w:rsidRDefault="00B20C38" w:rsidP="00B20C38">
      <w:pPr>
        <w:jc w:val="both"/>
        <w:rPr>
          <w:lang w:val="en-GB"/>
        </w:rPr>
      </w:pPr>
      <w:r w:rsidRPr="001763B5">
        <w:rPr>
          <w:lang w:val="en-GB"/>
        </w:rPr>
        <w:t xml:space="preserve">How will the transport-related cost </w:t>
      </w:r>
      <w:proofErr w:type="gramStart"/>
      <w:r w:rsidRPr="001763B5">
        <w:rPr>
          <w:lang w:val="en-GB"/>
        </w:rPr>
        <w:t>paid</w:t>
      </w:r>
      <w:proofErr w:type="gramEnd"/>
      <w:r w:rsidRPr="001763B5">
        <w:rPr>
          <w:lang w:val="en-GB"/>
        </w:rPr>
        <w:t xml:space="preserve"> by each end user change? How will the transport-related cost </w:t>
      </w:r>
      <w:proofErr w:type="gramStart"/>
      <w:r w:rsidRPr="001763B5">
        <w:rPr>
          <w:lang w:val="en-GB"/>
        </w:rPr>
        <w:t>paid</w:t>
      </w:r>
      <w:proofErr w:type="gramEnd"/>
      <w:r w:rsidRPr="001763B5">
        <w:rPr>
          <w:lang w:val="en-GB"/>
        </w:rPr>
        <w:t xml:space="preserve"> by your municipalities or regional government change?</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sidRPr="001763B5">
              <w:rPr>
                <w:lang w:val="en-GB"/>
              </w:rPr>
              <w:t xml:space="preserve">The cost for the end user will </w:t>
            </w:r>
            <w:r>
              <w:rPr>
                <w:lang w:val="en-GB"/>
              </w:rPr>
              <w:t xml:space="preserve">be lower. People will no longer pay all the expanses as if they own a car.  </w:t>
            </w:r>
          </w:p>
        </w:tc>
      </w:tr>
    </w:tbl>
    <w:p w:rsidR="00B20C38" w:rsidRPr="001763B5" w:rsidRDefault="00B20C38" w:rsidP="00B20C38">
      <w:pPr>
        <w:jc w:val="both"/>
        <w:rPr>
          <w:lang w:val="en-GB"/>
        </w:rPr>
      </w:pPr>
    </w:p>
    <w:p w:rsidR="00B20C38" w:rsidRPr="001763B5" w:rsidRDefault="00B20C38" w:rsidP="00B20C38">
      <w:pPr>
        <w:jc w:val="both"/>
        <w:rPr>
          <w:lang w:val="en-GB"/>
        </w:rPr>
      </w:pPr>
    </w:p>
    <w:p w:rsidR="00B20C38" w:rsidRPr="001763B5" w:rsidRDefault="00B20C38" w:rsidP="00B20C38">
      <w:pPr>
        <w:jc w:val="both"/>
        <w:rPr>
          <w:lang w:val="en-GB"/>
        </w:rPr>
      </w:pPr>
      <w:r>
        <w:rPr>
          <w:lang w:val="en-GB"/>
        </w:rPr>
        <w:t>Will the overall change</w:t>
      </w:r>
      <w:r w:rsidRPr="001763B5">
        <w:rPr>
          <w:lang w:val="en-GB"/>
        </w:rPr>
        <w:t xml:space="preserve">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r>
              <w:rPr>
                <w:lang w:val="en-GB"/>
              </w:rPr>
              <w:t xml:space="preserve">The transport-related energy consumption will decrease if more people will use cars less.  </w:t>
            </w:r>
          </w:p>
          <w:p w:rsidR="00B20C38" w:rsidRPr="001763B5" w:rsidRDefault="00B20C38" w:rsidP="004079A0">
            <w:pPr>
              <w:jc w:val="both"/>
              <w:rPr>
                <w:lang w:val="en-GB"/>
              </w:rPr>
            </w:pPr>
          </w:p>
          <w:p w:rsidR="00B20C38" w:rsidRPr="001763B5" w:rsidRDefault="00B20C38" w:rsidP="004079A0">
            <w:pPr>
              <w:jc w:val="both"/>
              <w:rPr>
                <w:lang w:val="en-GB"/>
              </w:rPr>
            </w:pPr>
          </w:p>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Pr="001763B5" w:rsidRDefault="00B20C38" w:rsidP="00B20C38">
      <w:pPr>
        <w:jc w:val="both"/>
        <w:rPr>
          <w:lang w:val="en-GB"/>
        </w:rPr>
      </w:pPr>
      <w:r>
        <w:rPr>
          <w:lang w:val="en-GB"/>
        </w:rPr>
        <w:t xml:space="preserve">Will the overall change </w:t>
      </w:r>
      <w:r w:rsidRPr="001763B5">
        <w:rPr>
          <w:lang w:val="en-GB"/>
        </w:rPr>
        <w:t>lead to increase or decrease of transport-related CO2 emission in your FUA?</w:t>
      </w:r>
    </w:p>
    <w:tbl>
      <w:tblPr>
        <w:tblStyle w:val="Rcsostblzat"/>
        <w:tblW w:w="0" w:type="auto"/>
        <w:tblLook w:val="04A0" w:firstRow="1" w:lastRow="0" w:firstColumn="1" w:lastColumn="0" w:noHBand="0" w:noVBand="1"/>
      </w:tblPr>
      <w:tblGrid>
        <w:gridCol w:w="9396"/>
      </w:tblGrid>
      <w:tr w:rsidR="00B20C38" w:rsidRPr="001763B5" w:rsidTr="004079A0">
        <w:tc>
          <w:tcPr>
            <w:tcW w:w="9396" w:type="dxa"/>
          </w:tcPr>
          <w:p w:rsidR="00B20C38" w:rsidRPr="001763B5" w:rsidRDefault="00B20C38" w:rsidP="004079A0">
            <w:pPr>
              <w:jc w:val="both"/>
              <w:rPr>
                <w:lang w:val="en-GB"/>
              </w:rPr>
            </w:pPr>
            <w:bookmarkStart w:id="25" w:name="_GoBack"/>
            <w:r w:rsidRPr="001763B5">
              <w:rPr>
                <w:lang w:val="en-GB"/>
              </w:rPr>
              <w:t>Overall change will lead to decrease of tr</w:t>
            </w:r>
            <w:r>
              <w:rPr>
                <w:lang w:val="en-GB"/>
              </w:rPr>
              <w:t xml:space="preserve">ansport-related CO2 </w:t>
            </w:r>
            <w:r w:rsidRPr="001763B5">
              <w:rPr>
                <w:lang w:val="en-GB"/>
              </w:rPr>
              <w:t xml:space="preserve">emission in FUA Zadar. </w:t>
            </w:r>
          </w:p>
          <w:bookmarkEnd w:id="25"/>
          <w:p w:rsidR="00B20C38" w:rsidRPr="001763B5" w:rsidRDefault="00B20C38" w:rsidP="004079A0">
            <w:pPr>
              <w:jc w:val="both"/>
              <w:rPr>
                <w:lang w:val="en-GB"/>
              </w:rPr>
            </w:pPr>
          </w:p>
        </w:tc>
      </w:tr>
    </w:tbl>
    <w:p w:rsidR="00B20C38" w:rsidRPr="001763B5" w:rsidRDefault="00B20C38" w:rsidP="00B20C38">
      <w:pPr>
        <w:jc w:val="both"/>
        <w:rPr>
          <w:lang w:val="en-GB"/>
        </w:rPr>
      </w:pPr>
    </w:p>
    <w:p w:rsidR="00B20C38" w:rsidRDefault="00B20C38" w:rsidP="00B20C38">
      <w:pPr>
        <w:jc w:val="both"/>
        <w:rPr>
          <w:lang w:val="en-GB"/>
        </w:rPr>
      </w:pPr>
    </w:p>
    <w:p w:rsidR="00B20C38" w:rsidRDefault="00B20C38" w:rsidP="00B20C38">
      <w:pPr>
        <w:jc w:val="both"/>
        <w:rPr>
          <w:lang w:val="en-GB"/>
        </w:rPr>
      </w:pPr>
    </w:p>
    <w:p w:rsidR="00B20C38" w:rsidRDefault="00B20C38" w:rsidP="00B20C38">
      <w:pPr>
        <w:jc w:val="both"/>
        <w:rPr>
          <w:lang w:val="en-GB"/>
        </w:rPr>
      </w:pPr>
    </w:p>
    <w:p w:rsidR="00B20C38" w:rsidRDefault="00B20C38" w:rsidP="00B20C38">
      <w:pPr>
        <w:jc w:val="both"/>
        <w:rPr>
          <w:lang w:val="en-GB"/>
        </w:rPr>
      </w:pPr>
    </w:p>
    <w:p w:rsidR="00B20C38" w:rsidRDefault="00B20C38" w:rsidP="00B20C38">
      <w:pPr>
        <w:jc w:val="both"/>
        <w:rPr>
          <w:lang w:val="en-GB"/>
        </w:rPr>
      </w:pPr>
    </w:p>
    <w:p w:rsidR="00B20C38" w:rsidRDefault="00B20C38" w:rsidP="00B20C38">
      <w:pPr>
        <w:jc w:val="both"/>
        <w:rPr>
          <w:lang w:val="en-GB"/>
        </w:rPr>
      </w:pPr>
    </w:p>
    <w:p w:rsidR="00B20C38" w:rsidRDefault="00B20C38" w:rsidP="00B20C38">
      <w:pPr>
        <w:jc w:val="both"/>
        <w:rPr>
          <w:lang w:val="en-GB"/>
        </w:rPr>
      </w:pPr>
    </w:p>
    <w:p w:rsidR="00B20C38" w:rsidRDefault="00B20C38" w:rsidP="00B20C38">
      <w:pPr>
        <w:jc w:val="both"/>
        <w:rPr>
          <w:lang w:val="en-GB"/>
        </w:rPr>
      </w:pPr>
    </w:p>
    <w:p w:rsidR="00B20C38" w:rsidRDefault="00B20C38" w:rsidP="00B20C38">
      <w:pPr>
        <w:jc w:val="both"/>
        <w:rPr>
          <w:lang w:val="en-GB"/>
        </w:rPr>
      </w:pPr>
    </w:p>
    <w:p w:rsidR="00B20C38" w:rsidRDefault="00B20C38" w:rsidP="00B20C38">
      <w:pPr>
        <w:jc w:val="both"/>
        <w:rPr>
          <w:lang w:val="en-GB"/>
        </w:rPr>
      </w:pPr>
    </w:p>
    <w:p w:rsidR="00B20C38" w:rsidRPr="001763B5" w:rsidRDefault="00B20C38" w:rsidP="00B20C38">
      <w:pPr>
        <w:jc w:val="both"/>
        <w:rPr>
          <w:lang w:val="en-GB"/>
        </w:rPr>
      </w:pPr>
    </w:p>
    <w:p w:rsidR="00FF6E01" w:rsidRDefault="00FF6E01"/>
    <w:sectPr w:rsidR="00FF6E01" w:rsidSect="001D695C">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7F1" w:rsidRDefault="001047F1">
      <w:pPr>
        <w:spacing w:after="0" w:line="240" w:lineRule="auto"/>
      </w:pPr>
      <w:r>
        <w:separator/>
      </w:r>
    </w:p>
  </w:endnote>
  <w:endnote w:type="continuationSeparator" w:id="0">
    <w:p w:rsidR="001047F1" w:rsidRDefault="0010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B5" w:rsidRDefault="001047F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blzatrcsosvilgo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849B5" w:rsidTr="00236FEA">
      <w:tc>
        <w:tcPr>
          <w:tcW w:w="3020" w:type="dxa"/>
        </w:tcPr>
        <w:p w:rsidR="000849B5" w:rsidRDefault="001047F1" w:rsidP="00BC36E4">
          <w:pPr>
            <w:tabs>
              <w:tab w:val="center" w:pos="4550"/>
              <w:tab w:val="left" w:pos="5818"/>
            </w:tabs>
            <w:ind w:right="260"/>
            <w:jc w:val="right"/>
            <w:rPr>
              <w:color w:val="222A35" w:themeColor="text2" w:themeShade="80"/>
              <w:sz w:val="24"/>
              <w:szCs w:val="24"/>
            </w:rPr>
          </w:pPr>
        </w:p>
      </w:tc>
      <w:tc>
        <w:tcPr>
          <w:tcW w:w="3021" w:type="dxa"/>
          <w:vAlign w:val="bottom"/>
        </w:tcPr>
        <w:p w:rsidR="000849B5" w:rsidRDefault="00B20C38" w:rsidP="00BC36E4">
          <w:pPr>
            <w:tabs>
              <w:tab w:val="center" w:pos="4550"/>
              <w:tab w:val="left" w:pos="5818"/>
            </w:tabs>
            <w:ind w:left="-160" w:right="-154"/>
            <w:jc w:val="center"/>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46873">
            <w:rPr>
              <w:noProof/>
              <w:color w:val="323E4F" w:themeColor="text2" w:themeShade="BF"/>
              <w:sz w:val="24"/>
              <w:szCs w:val="24"/>
            </w:rPr>
            <w:t>14</w:t>
          </w:r>
          <w:r>
            <w:rPr>
              <w:color w:val="323E4F" w:themeColor="text2" w:themeShade="BF"/>
              <w:sz w:val="24"/>
              <w:szCs w:val="24"/>
            </w:rPr>
            <w:fldChar w:fldCharType="end"/>
          </w:r>
          <w:r>
            <w:rPr>
              <w:color w:val="323E4F" w:themeColor="text2" w:themeShade="BF"/>
              <w:sz w:val="24"/>
              <w:szCs w:val="24"/>
            </w:rPr>
            <w:t xml:space="preserve"> | </w:t>
          </w:r>
          <w:fldSimple w:instr=" NUMPAGES  \* Arabic  \* MERGEFORMAT ">
            <w:r w:rsidR="00546873" w:rsidRPr="00546873">
              <w:rPr>
                <w:noProof/>
                <w:color w:val="323E4F" w:themeColor="text2" w:themeShade="BF"/>
                <w:sz w:val="24"/>
                <w:szCs w:val="24"/>
              </w:rPr>
              <w:t>14</w:t>
            </w:r>
          </w:fldSimple>
        </w:p>
      </w:tc>
      <w:tc>
        <w:tcPr>
          <w:tcW w:w="3021" w:type="dxa"/>
        </w:tcPr>
        <w:p w:rsidR="000849B5" w:rsidRDefault="00B20C38" w:rsidP="00BC36E4">
          <w:pPr>
            <w:tabs>
              <w:tab w:val="center" w:pos="4550"/>
              <w:tab w:val="left" w:pos="5818"/>
            </w:tabs>
            <w:ind w:right="260"/>
            <w:jc w:val="right"/>
            <w:rPr>
              <w:color w:val="222A35" w:themeColor="text2" w:themeShade="80"/>
              <w:sz w:val="24"/>
              <w:szCs w:val="24"/>
            </w:rPr>
          </w:pPr>
          <w:r w:rsidRPr="00EE45FC">
            <w:rPr>
              <w:noProof/>
              <w:lang w:val="hr-HR" w:eastAsia="hr-HR"/>
            </w:rPr>
            <w:drawing>
              <wp:inline distT="0" distB="0" distL="0" distR="0" wp14:anchorId="77ED2685" wp14:editId="5FEBC416">
                <wp:extent cx="730038" cy="320722"/>
                <wp:effectExtent l="0" t="0" r="0" b="317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007" cy="330813"/>
                        </a:xfrm>
                        <a:prstGeom prst="rect">
                          <a:avLst/>
                        </a:prstGeom>
                      </pic:spPr>
                    </pic:pic>
                  </a:graphicData>
                </a:graphic>
              </wp:inline>
            </w:drawing>
          </w:r>
        </w:p>
      </w:tc>
    </w:tr>
  </w:tbl>
  <w:p w:rsidR="000849B5" w:rsidRDefault="001047F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B5" w:rsidRDefault="001047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7F1" w:rsidRDefault="001047F1">
      <w:pPr>
        <w:spacing w:after="0" w:line="240" w:lineRule="auto"/>
      </w:pPr>
      <w:r>
        <w:separator/>
      </w:r>
    </w:p>
  </w:footnote>
  <w:footnote w:type="continuationSeparator" w:id="0">
    <w:p w:rsidR="001047F1" w:rsidRDefault="00104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B5" w:rsidRDefault="001047F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Look w:val="04A0" w:firstRow="1" w:lastRow="0" w:firstColumn="1" w:lastColumn="0" w:noHBand="0" w:noVBand="1"/>
    </w:tblPr>
    <w:tblGrid>
      <w:gridCol w:w="4467"/>
      <w:gridCol w:w="4897"/>
    </w:tblGrid>
    <w:tr w:rsidR="000849B5" w:rsidTr="00236FEA">
      <w:tc>
        <w:tcPr>
          <w:tcW w:w="4467" w:type="dxa"/>
          <w:tcBorders>
            <w:top w:val="single" w:sz="4" w:space="0" w:color="FFFFFF" w:themeColor="background1"/>
            <w:left w:val="single" w:sz="4" w:space="0" w:color="FFFFFF" w:themeColor="background1"/>
            <w:bottom w:val="single" w:sz="4" w:space="0" w:color="FFFFFF" w:themeColor="background1"/>
            <w:right w:val="nil"/>
          </w:tcBorders>
          <w:vAlign w:val="center"/>
        </w:tcPr>
        <w:p w:rsidR="000849B5" w:rsidRDefault="001047F1" w:rsidP="00BC36E4">
          <w:pPr>
            <w:pStyle w:val="lfej"/>
          </w:pPr>
        </w:p>
      </w:tc>
      <w:tc>
        <w:tcPr>
          <w:tcW w:w="4600" w:type="dxa"/>
          <w:tcBorders>
            <w:top w:val="nil"/>
            <w:left w:val="nil"/>
            <w:bottom w:val="nil"/>
            <w:right w:val="nil"/>
          </w:tcBorders>
          <w:vAlign w:val="center"/>
        </w:tcPr>
        <w:p w:rsidR="000849B5" w:rsidRDefault="00B20C38" w:rsidP="00BC36E4">
          <w:pPr>
            <w:pStyle w:val="lfej"/>
            <w:jc w:val="right"/>
          </w:pPr>
          <w:r w:rsidRPr="00EE45FC">
            <w:rPr>
              <w:noProof/>
              <w:lang w:val="hr-HR" w:eastAsia="hr-HR"/>
            </w:rPr>
            <w:drawing>
              <wp:inline distT="0" distB="0" distL="0" distR="0" wp14:anchorId="53AF1DB2" wp14:editId="00131A86">
                <wp:extent cx="2972514" cy="1137037"/>
                <wp:effectExtent l="0" t="0" r="0" b="6350"/>
                <wp:docPr id="2" name="Picture 2" descr="C:\Users\lemmhe\Dropbox\VISIBILITY\01 PROJECT LOGO\standard logo image - CHESTN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mmhe\Dropbox\VISIBILITY\01 PROJECT LOGO\standard logo image - CHESTN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072" cy="1139928"/>
                        </a:xfrm>
                        <a:prstGeom prst="rect">
                          <a:avLst/>
                        </a:prstGeom>
                        <a:noFill/>
                        <a:ln>
                          <a:noFill/>
                        </a:ln>
                      </pic:spPr>
                    </pic:pic>
                  </a:graphicData>
                </a:graphic>
              </wp:inline>
            </w:drawing>
          </w:r>
        </w:p>
      </w:tc>
    </w:tr>
  </w:tbl>
  <w:p w:rsidR="000849B5" w:rsidRDefault="001047F1">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B5" w:rsidRDefault="001047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A3C83"/>
    <w:multiLevelType w:val="hybridMultilevel"/>
    <w:tmpl w:val="7EB6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E5F21"/>
    <w:multiLevelType w:val="hybridMultilevel"/>
    <w:tmpl w:val="7D26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38"/>
    <w:rsid w:val="00055F70"/>
    <w:rsid w:val="001047F1"/>
    <w:rsid w:val="001D768F"/>
    <w:rsid w:val="003B1038"/>
    <w:rsid w:val="00546873"/>
    <w:rsid w:val="009E6E63"/>
    <w:rsid w:val="00A32481"/>
    <w:rsid w:val="00B20C38"/>
    <w:rsid w:val="00B824E8"/>
    <w:rsid w:val="00FF6E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547E"/>
  <w15:chartTrackingRefBased/>
  <w15:docId w15:val="{DE78C8C2-3F4A-45AF-90E2-AED83733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20C38"/>
    <w:rPr>
      <w:rFonts w:eastAsiaTheme="minorEastAsia"/>
      <w:lang w:val="de-AT" w:eastAsia="ja-JP"/>
    </w:rPr>
  </w:style>
  <w:style w:type="paragraph" w:styleId="Cmsor1">
    <w:name w:val="heading 1"/>
    <w:basedOn w:val="Norml"/>
    <w:next w:val="Norml"/>
    <w:link w:val="Cmsor1Char"/>
    <w:uiPriority w:val="9"/>
    <w:qFormat/>
    <w:rsid w:val="00B20C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20C38"/>
    <w:rPr>
      <w:rFonts w:asciiTheme="majorHAnsi" w:eastAsiaTheme="majorEastAsia" w:hAnsiTheme="majorHAnsi" w:cstheme="majorBidi"/>
      <w:color w:val="2F5496" w:themeColor="accent1" w:themeShade="BF"/>
      <w:sz w:val="32"/>
      <w:szCs w:val="32"/>
      <w:lang w:val="de-AT" w:eastAsia="ja-JP"/>
    </w:rPr>
  </w:style>
  <w:style w:type="paragraph" w:styleId="lfej">
    <w:name w:val="header"/>
    <w:basedOn w:val="Norml"/>
    <w:link w:val="lfejChar"/>
    <w:uiPriority w:val="99"/>
    <w:unhideWhenUsed/>
    <w:rsid w:val="00B20C38"/>
    <w:pPr>
      <w:tabs>
        <w:tab w:val="center" w:pos="4703"/>
        <w:tab w:val="right" w:pos="9406"/>
      </w:tabs>
      <w:spacing w:after="0" w:line="240" w:lineRule="auto"/>
    </w:pPr>
  </w:style>
  <w:style w:type="character" w:customStyle="1" w:styleId="lfejChar">
    <w:name w:val="Élőfej Char"/>
    <w:basedOn w:val="Bekezdsalapbettpusa"/>
    <w:link w:val="lfej"/>
    <w:uiPriority w:val="99"/>
    <w:rsid w:val="00B20C38"/>
    <w:rPr>
      <w:rFonts w:eastAsiaTheme="minorEastAsia"/>
      <w:lang w:val="de-AT" w:eastAsia="ja-JP"/>
    </w:rPr>
  </w:style>
  <w:style w:type="paragraph" w:styleId="llb">
    <w:name w:val="footer"/>
    <w:basedOn w:val="Norml"/>
    <w:link w:val="llbChar"/>
    <w:uiPriority w:val="99"/>
    <w:unhideWhenUsed/>
    <w:rsid w:val="00B20C38"/>
    <w:pPr>
      <w:tabs>
        <w:tab w:val="center" w:pos="4703"/>
        <w:tab w:val="right" w:pos="9406"/>
      </w:tabs>
      <w:spacing w:after="0" w:line="240" w:lineRule="auto"/>
    </w:pPr>
  </w:style>
  <w:style w:type="character" w:customStyle="1" w:styleId="llbChar">
    <w:name w:val="Élőláb Char"/>
    <w:basedOn w:val="Bekezdsalapbettpusa"/>
    <w:link w:val="llb"/>
    <w:uiPriority w:val="99"/>
    <w:rsid w:val="00B20C38"/>
    <w:rPr>
      <w:rFonts w:eastAsiaTheme="minorEastAsia"/>
      <w:lang w:val="de-AT" w:eastAsia="ja-JP"/>
    </w:rPr>
  </w:style>
  <w:style w:type="table" w:customStyle="1" w:styleId="TableGrid1">
    <w:name w:val="Table Grid1"/>
    <w:basedOn w:val="Normltblzat"/>
    <w:next w:val="Rcsostblzat"/>
    <w:uiPriority w:val="39"/>
    <w:rsid w:val="00B20C38"/>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B20C38"/>
    <w:pPr>
      <w:spacing w:after="0" w:line="240" w:lineRule="auto"/>
    </w:pPr>
    <w:rPr>
      <w:rFonts w:eastAsiaTheme="minorEastAsia"/>
      <w:lang w:val="de-A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rcsosvilgos1">
    <w:name w:val="Táblázat (rácsos) – világos1"/>
    <w:basedOn w:val="Normltblzat"/>
    <w:uiPriority w:val="40"/>
    <w:rsid w:val="00B20C38"/>
    <w:pPr>
      <w:spacing w:after="0" w:line="240" w:lineRule="auto"/>
    </w:pPr>
    <w:rPr>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szerbekezds">
    <w:name w:val="List Paragraph"/>
    <w:basedOn w:val="Norml"/>
    <w:uiPriority w:val="34"/>
    <w:qFormat/>
    <w:rsid w:val="00B20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2673</Words>
  <Characters>18448</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dc:description/>
  <cp:lastModifiedBy>Dan Martin</cp:lastModifiedBy>
  <cp:revision>2</cp:revision>
  <dcterms:created xsi:type="dcterms:W3CDTF">2018-01-04T08:36:00Z</dcterms:created>
  <dcterms:modified xsi:type="dcterms:W3CDTF">2018-01-06T12:13:00Z</dcterms:modified>
</cp:coreProperties>
</file>